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Vollzug gelten die allgemeinen Vorschriften für Zuwendungen des Freistaates Bayern.</w:t>
      </w:r>
    </w:p>
    <w:p>
      <w:r>
        <w:t xml:space="preserve">(2) Die Dauer der Zweckbindung von Zuschüssen bestimmt sich nach der gewöhnlichen Nutzungsdauer der mit den Zuschüssen beschafften Gegenstände; die gewöhnliche Nutzungsdauer bestimmt sich nach den Regeln über die lineare Absetzung für Abnutzung.</w:t>
      </w:r>
    </w:p>
    <w:p>
      <w:r>
        <w:rPr>
          <w:color w:val="555555"/>
          <w:sz w:val="17"/>
        </w:rPr>
        <w:t xml:space="preserve">Zitiervorschlag: § 6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