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Zuschuss beträgt 3.552,97 € (Stand: 1. November 2000) für jeden Studienplatz nach § 3. Dieser Betrag ändert sich entsprechend dem Prozentsatz der Besoldungsanpassung der bayerischen Beamten (Besoldungsgruppe C 2, Grundgehalt der siebten Stufe, Familienzuschlag für Verheiratete mit zwei zu berücksichtigenden Kindern).</w:t>
      </w:r>
    </w:p>
    <w:p>
      <w:r>
        <w:t xml:space="preserve">(2) Unterschreitet an einer Hochschule die Zahl der Studenten in der Regelstudienzeit die gemäß § 3 festgesetzten Studienplatzzahlen um mehr als 10 v.H., werden die Zuschüsse entsprechend gekürzt.</w:t>
      </w:r>
    </w:p>
    <w:p>
      <w:r>
        <w:t xml:space="preserve">(3) Maßgebend ist die Sach- und Rechtslage am 1. November des Vorjahres.</w:t>
      </w:r>
    </w:p>
    <w:p>
      <w:r>
        <w:rPr>
          <w:color w:val="555555"/>
          <w:sz w:val="17"/>
        </w:rPr>
        <w:t xml:space="preserve">Zitiervorschlag: § 4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