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BayFGV (Bayern)</w:t>
      </w:r>
    </w:p>
    <w:p>
      <w:r>
        <w:rPr>
          <w:color w:val="555555"/>
          <w:sz w:val="18"/>
        </w:rPr>
        <w:t xml:space="preserve">Bayerische Verordnung zur freiwilligen Gerichtsbarkeit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31. Dezember 2022</w:t>
      </w:r>
    </w:p>
    <w:p>
      <w:r>
        <w:t xml:space="preserve">Bayerisches Staatsministerium der Justiz</w:t>
      </w:r>
    </w:p>
    <w:p>
      <w:r>
        <w:t xml:space="preserve">Georg Eisenreich, Staatsminister</w:t>
      </w:r>
    </w:p>
    <w:p>
      <w:r>
        <w:rPr>
          <w:color w:val="555555"/>
          <w:sz w:val="17"/>
        </w:rPr>
        <w:t xml:space="preserve">Zitiervorschlag: Schlussformel BayFGV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https://recht.nulegal.eu/gesetze/BayFGV/schlussformel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