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BayFGV (Bayern) — Anlage (zu § 4 Abs. 3 Satz 2) Höhe der Fallpauschalen</w:t>
      </w:r>
    </w:p>
    <w:p>
      <w:r>
        <w:rPr>
          <w:color w:val="555555"/>
          <w:sz w:val="18"/>
        </w:rPr>
        <w:t xml:space="preserve">Bayerische Verordnung zur freiwilligen Gerichtsbarkeit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nach § 4 Abs. 3 Satz 2 BayFGV</w:t>
      </w:r>
    </w:p>
    <w:p>
      <w:r>
        <w:t xml:space="preserve">Nr.</w:t>
      </w:r>
    </w:p>
    <w:p>
      <w:r>
        <w:t xml:space="preserve">Durchführung durch die Modellbehörde</w:t>
      </w:r>
    </w:p>
    <w:p>
      <w:r>
        <w:t xml:space="preserve">Delegation</w:t>
      </w:r>
    </w:p>
    <w:p>
      <w:r>
        <w:t xml:space="preserve">1.</w:t>
      </w:r>
    </w:p>
    <w:p>
      <w:r>
        <w:t xml:space="preserve">Erweiterte Unterstützung nach § 11 Abs. 3 BtOG</w:t>
      </w:r>
    </w:p>
    <w:p>
      <w:r>
        <w:t xml:space="preserve">568 €</w:t>
      </w:r>
    </w:p>
    <w:p>
      <w:r>
        <w:t xml:space="preserve">502 €</w:t>
      </w:r>
    </w:p>
    <w:p>
      <w:r>
        <w:t xml:space="preserve">2.</w:t>
      </w:r>
    </w:p>
    <w:p>
      <w:r>
        <w:t xml:space="preserve">Erweiterte Unterstützung nach § 11 Abs. 4 BtOG</w:t>
      </w:r>
    </w:p>
    <w:p>
      <w:r>
        <w:t xml:space="preserve">189 €</w:t>
      </w:r>
    </w:p>
    <w:p>
      <w:r>
        <w:t xml:space="preserve">167 €</w:t>
      </w:r>
    </w:p>
    <w:p>
      <w:r>
        <w:rPr>
          <w:color w:val="555555"/>
          <w:sz w:val="17"/>
        </w:rPr>
        <w:t xml:space="preserve">Zitiervorschlag: Anlage BayFGV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https://recht.nulegal.eu/gesetze/BayFGV/anlage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