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BayFGV (Bayern) — Bestandsverzeichnis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das Bestandsverzeichnis sind in den durch die Spalte 3 gebildeten Raum einzutragen:</w:t>
      </w:r>
    </w:p>
    <w:p>
      <w:r>
        <w:t xml:space="preserve">1. die Bezeichnung „Bergwerkseigentum“, der Name des Bergwerkseigentums, die Größe und Lage des Bergwerksfelds sowie die Bezeichnung der Bodenschätze, für die das Bergwerkseigentum gilt,</w:t>
      </w:r>
    </w:p>
    <w:p>
      <w:r>
        <w:t xml:space="preserve">2. die Bezeichnung der das Bergwerkseigentum verleihenden Behörde und das Datum der Verleihungsurkunde,</w:t>
      </w:r>
    </w:p>
    <w:p>
      <w:r>
        <w:t xml:space="preserve">3. Veränderungen der in Nr. 1 bezeichneten Eintragungen.</w:t>
      </w:r>
    </w:p>
    <w:p>
      <w:r>
        <w:t xml:space="preserve">Zur näheren Beschreibung der Lage des Bergwerksfelds und des Inhalts des Bergwerkseigentums kann auf die Berechtsamsurkunde Bezug genommen werden. Jedoch sind Beschränkungen und Befristungen ausdrücklich einzutragen.</w:t>
      </w:r>
    </w:p>
    <w:p>
      <w:r>
        <w:t xml:space="preserve">(2) In der Spalte 1 ist die laufende Nummer der Eintragung, in der Spalte 2 die bisherige laufende Nummer der Eintragung anzugeben.</w:t>
      </w:r>
    </w:p>
    <w:p>
      <w:r>
        <w:t xml:space="preserve">(3) Verliert durch die Eintragung einer Veränderung nach ihrem aus dem Grundbuch ersichtlichen Inhalt eine frühere Eintragung ganz oder teilweise ihre Bedeutung, ist sie insoweit rot zu unterstreichen.</w:t>
      </w:r>
    </w:p>
    <w:p>
      <w:r>
        <w:t xml:space="preserve">(4) Das Erlöschen des Bergwerkseigentums ist in der Spalte 8 zu vermerken.</w:t>
      </w:r>
    </w:p>
    <w:p>
      <w:r>
        <w:rPr>
          <w:color w:val="555555"/>
          <w:sz w:val="17"/>
        </w:rPr>
        <w:t xml:space="preserve">Zitiervorschlag: § 9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