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BayFGV (Bayern) — Erste Abteilung</w:t>
      </w:r>
    </w:p>
    <w:p>
      <w:r>
        <w:rPr>
          <w:color w:val="555555"/>
          <w:sz w:val="18"/>
        </w:rPr>
        <w:t xml:space="preserve">Bayerische Verordnung zur freiwilligen Gerichtsbarkeit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der ersten Abteilung sind der Bergwerkseigentümer einzutragen und die Grundlage der Eintragung anzugeben.</w:t>
      </w:r>
    </w:p>
    <w:p>
      <w:r>
        <w:rPr>
          <w:color w:val="555555"/>
          <w:sz w:val="17"/>
        </w:rPr>
        <w:t xml:space="preserve">Zitiervorschlag: § 10 BayFGV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https://recht.nulegal.eu/gesetze/BayFGV/10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