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BayFGV (Bayern) — Modellbehörden</w:t>
      </w:r>
    </w:p>
    <w:p>
      <w:r>
        <w:rPr>
          <w:color w:val="555555"/>
          <w:sz w:val="18"/>
        </w:rPr>
        <w:t xml:space="preserve">Bayerische Verordnung zur freiwilligen Gerichtsbarkeit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Modellbehörden im Sinn des Art. 1 Abs. 4 Satz 2 des Bayerischen Gesetzes zur Ausführung betreuungsrechtlicher Vorschriften sind die Betreuungsstellen</w:t>
      </w:r>
    </w:p>
    <w:p>
      <w:r>
        <w:t xml:space="preserve">1. der Landkreise</w:t>
      </w:r>
    </w:p>
    <w:p>
      <w:r>
        <w:t xml:space="preserve">a) Augsburg,</w:t>
      </w:r>
    </w:p>
    <w:p>
      <w:r>
        <w:t xml:space="preserve">b) Coburg,</w:t>
      </w:r>
    </w:p>
    <w:p>
      <w:r>
        <w:t xml:space="preserve">c) Deggendorf,</w:t>
      </w:r>
    </w:p>
    <w:p>
      <w:r>
        <w:t xml:space="preserve">d) Fürth,</w:t>
      </w:r>
    </w:p>
    <w:p>
      <w:r>
        <w:t xml:space="preserve">e) Nürnberger Land,</w:t>
      </w:r>
    </w:p>
    <w:p>
      <w:r>
        <w:t xml:space="preserve">f) Regensburg,</w:t>
      </w:r>
    </w:p>
    <w:p>
      <w:r>
        <w:t xml:space="preserve">g) Straubing-Bogen,</w:t>
      </w:r>
    </w:p>
    <w:p>
      <w:r>
        <w:t xml:space="preserve">2. der kreisfreien Städte</w:t>
      </w:r>
    </w:p>
    <w:p>
      <w:r>
        <w:t xml:space="preserve">a) Bamberg,</w:t>
      </w:r>
    </w:p>
    <w:p>
      <w:r>
        <w:t xml:space="preserve">b) Nürnberg,</w:t>
      </w:r>
    </w:p>
    <w:p>
      <w:r>
        <w:t xml:space="preserve">c) Regensburg.</w:t>
      </w:r>
    </w:p>
    <w:p>
      <w:r>
        <w:rPr>
          <w:color w:val="555555"/>
          <w:sz w:val="17"/>
        </w:rPr>
        <w:t xml:space="preserve">Zitiervorschlag: § 1 BayFGV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https://recht.nulegal.eu/gesetze/BayFGV/1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