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BayFAG (Bayern) — Erhöhte Kreisumlagesätze</w:t>
      </w:r>
    </w:p>
    <w:p>
      <w:r>
        <w:rPr>
          <w:color w:val="555555"/>
          <w:sz w:val="18"/>
        </w:rPr>
        <w:t xml:space="preserve">Bayerisches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einzelne kreisangehörige Gemeinden können je nach Teilnahme an den Vorteilen einer Einrichtung des Landkreises die Prozentsätze nach Art. 18 Abs. 3 mit Genehmigung der Aufsichtsbehörde erhöht werden.</w:t>
      </w:r>
    </w:p>
    <w:p>
      <w:r>
        <w:rPr>
          <w:color w:val="555555"/>
          <w:sz w:val="17"/>
        </w:rPr>
        <w:t xml:space="preserve">Zitiervorschlag: Art 20 BayFAG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