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BayFAG (Bayern) — Gemeindeschlüsselzuweisungen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Berechnung der Schlüsselzuweisung jeder Gemeinde wird von der durchschnittlichen Ausgabebelastung und der eigenen Steuerkraft ausgegangen. Dabei ist Mehrbelastungen auf Grund Strukturschwäche sowie Bevölkerungsrückgang und für die Kinderbetreuung Rechnung zu tragen; bei kreisfreien Gemeinden werden zusätzlich ihre besondere Aufgabenstellung sowie ihre Soziallasten berücksichtigt.</w:t>
      </w:r>
    </w:p>
    <w:p>
      <w:r>
        <w:t xml:space="preserve">(2) Die Schlüsselzuweisung wird in der Weise gefunden, dass von einer in Euro ausgedrückten Messzahl, in der die in Abs. 1 genannten Tatsachen berücksichtigt werden (Ausgangsmesszahl), eine andere Messzahl abgezogen wird, die der eigenen Steuerkraft der Gemeinde Ausdruck gibt (Steuerkraftmesszahl). Ist die Ausgangsmesszahl größer als die Steuerkraftmesszahl, so erhält die Gemeinde 55 Prozent des Unterschiedsbetrags als Schlüsselzuweisung.</w:t>
      </w:r>
    </w:p>
    <w:p>
      <w:r>
        <w:t xml:space="preserve">(3) Die Ausgangsmesszahl wird nach einem einheitlichen Grundbetrag berechnet. Der Grundbetrag wird für jedes Haushaltsjahr so festgesetzt, dass der als Gemeindeschlüsselmasse (Art. 1) zur Verfügung stehende Betrag aufgebraucht wird.</w:t>
      </w:r>
    </w:p>
    <w:p>
      <w:r>
        <w:rPr>
          <w:color w:val="555555"/>
          <w:sz w:val="17"/>
        </w:rPr>
        <w:t xml:space="preserve">Zitiervorschlag: Art 2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