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1b BayFAG (Bayern) — Einkommensteuerersatz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Gemeinden erhalten als Einkommensteuerersatz 26,08 Prozent der auf den Ausgleich für</w:t>
      </w:r>
    </w:p>
    <w:p>
      <w:r>
        <w:t xml:space="preserve">1. überproportionale Belastungen durch die Neuregelung des Familienleistungsausgleichs und</w:t>
      </w:r>
    </w:p>
    <w:p>
      <w:r>
        <w:t xml:space="preserve">2. Belastungen durch Steuerrechtsänderungen im Einkommensteuergesetz</w:t>
      </w:r>
    </w:p>
    <w:p>
      <w:r>
        <w:t xml:space="preserve">entfallenden Beträge des Landesanteils an der Umsatzsteuer, wenn die Gemeinden nicht einen eigenen Ausgleich dafür erhalten. Für die Aufteilung des Einkommensteuerersatzes ist § 2 des Gemeindefinanzreformgesetzes in der jeweils geltenden Fassung entsprechend anzuwenden.</w:t>
      </w:r>
    </w:p>
    <w:p>
      <w:r>
        <w:rPr>
          <w:color w:val="555555"/>
          <w:sz w:val="17"/>
        </w:rPr>
        <w:t xml:space="preserve">Zitiervorschlag: Art 1b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https://recht.nulegal.eu/gesetze/BayFAG/1b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