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BayFAG (Bayern) — Kostenanteile nach § 13 des Eisenbahnkreuzungsgesetzes</w:t>
      </w:r>
    </w:p>
    <w:p>
      <w:r>
        <w:rPr>
          <w:color w:val="555555"/>
          <w:sz w:val="18"/>
        </w:rPr>
        <w:t xml:space="preserve">Bayerisches Finanzausgleichsgesetz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Kostenanteile, die nach § 13 des Eisenbahnkreuzungsgesetzes dem Land bei Kreuzungen mit Kreis- und Gemeindestraßen entstehen, werden aus dem Kommunalanteil am Kraftfahrzeugsteuerersatzverbund finanziert.</w:t>
      </w:r>
    </w:p>
    <w:p>
      <w:r>
        <w:t xml:space="preserve">(2) Bei Vereinbarungen nach § 5 Abs. 1 Satz 1 des Eisenbahnkreuzungsgesetzes, die vor dem 1. Januar 2022 zwischen den Beteiligten getroffen worden sind, werden zur Finanzierung des Kostenanteils des Landes nach § 13 Abs. 1 Satz 2 des Eisenbahnkreuzungsgesetzes grundsätzlich die jeweils nach Art. 13a oder 13b Abs. 1 zur Verfügung gestellten Mittel herangezogen. Zuweisungen aus Mitteln des Art. 13c werden gewährt</w:t>
      </w:r>
    </w:p>
    <w:p>
      <w:r>
        <w:t xml:space="preserve">1. in Härtefällen,</w:t>
      </w:r>
    </w:p>
    <w:p>
      <w:r>
        <w:t xml:space="preserve">2. bei Kreuzungen mit Gemeindestraßen einer Gemeinde, die Leistungen nach Art. 13b Abs. 2 erhält.</w:t>
      </w:r>
    </w:p>
    <w:p>
      <w:r>
        <w:t xml:space="preserve">(3) Der Kostenanteil des Landes nach § 13 Abs. 2 des Eisenbahnkreuzungsgesetzes wird aus Mitteln des Art. 13g finanziert.</w:t>
      </w:r>
    </w:p>
    <w:p>
      <w:r>
        <w:rPr>
          <w:color w:val="555555"/>
          <w:sz w:val="17"/>
        </w:rPr>
        <w:t xml:space="preserve">Zitiervorschlag: Art 14 BayFAG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