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13f BayFAG (Bayern) — Kommunales Sonderbaulastprogramm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Vom Kommunalanteil am Kraftfahrzeugsteuerersatzverbund können jährlich bis zu 33 900 000 €für das kommunale Sonderbaulastprogramm, insbesondere</w:t>
      </w:r>
    </w:p>
    <w:p>
      <w:r>
        <w:t xml:space="preserve">1. für den Bau von in gemeindlicher Sonderbaulast stehenden Ortsumfahrungen bzw. Entlastungsstraßen im Zuge von Staatsstraßen,</w:t>
      </w:r>
    </w:p>
    <w:p>
      <w:r>
        <w:t xml:space="preserve">2. für die Änderung von bestehenden Kreuzungen zwischen Staats- und Gemeinde- oder Kreisstraßen sowie zwischen Staats- und Gemeinde- und Kreisstraßen, soweit die betroffenen Gemeinden und Landkreise die Änderungskosten übernehmen,</w:t>
      </w:r>
    </w:p>
    <w:p>
      <w:r>
        <w:t xml:space="preserve">3. für den Bau von unselbstständigen Radwegen sowie unselbstständigen Geh- und Radwegen an Staatsstraßen, soweit die Gemeinde die Kosten übernimmt,</w:t>
      </w:r>
    </w:p>
    <w:p>
      <w:r>
        <w:t xml:space="preserve">4. für den Bau oder Ausbau von Radschnellwegen und anderen Geh- und Radwegen im Sinn von Art. 53 Nr. 2 des Bayerischen Straßen- und Wegegesetzes (BayStrWG) sowie den Ausbau von öffentlichen Feld- und Waldwegen im Sinn von Art. 53 Nr. 1 BayStrWG, die für den überörtlichen Radverkehr von Verkehrsbedeutung sind und bei denen die Gemeinden Träger der Baulast oder die Landkreise Träger der Sonderbaulast sind,</w:t>
      </w:r>
    </w:p>
    <w:p>
      <w:r>
        <w:t xml:space="preserve">5. für bauliche Maßnahmen der Gemeinden und Landkreise zur Herstellung der Barrierefreiheit und Verbesserung der Zuwegung im Übergangsbereich vom Individual- zum öffentlichen Verkehr einschließlich der Ablösebeträge, die für den Mehraufwand bei der Erhaltung und Unterhaltung der erforderlichen Bauwerke zu erstatten sind,</w:t>
      </w:r>
    </w:p>
    <w:p>
      <w:r>
        <w:t xml:space="preserve">6. für Planungen im Hinblick auf Maßnahmen zur Herstellung der Barrierefreiheit an Bahnstationen,</w:t>
      </w:r>
    </w:p>
    <w:p>
      <w:r>
        <w:t xml:space="preserve">verwendet werden. Für die Förderhöhe und das Förderverfahren gelten die für den kommunalen Straßenbau geltenden Bestimmungen entsprechend.</w:t>
      </w:r>
    </w:p>
    <w:p>
      <w:r>
        <w:t xml:space="preserve">(2) Der Bau und Ausbau von Wegen nach Abs. 1 Satz 1 Nr. 3 und 4 ist in der Breite und Befestigung zuwendungsfähig, die für den zu erwartenden Verkehr notwendig sind.</w:t>
      </w:r>
    </w:p>
    <w:p>
      <w:r>
        <w:t xml:space="preserve">(3) Ausgaben für Planung und Bauleitung für Maßnahmen nach Abs. 1 Satz 1 Nr. 1 bis 4 sind pauschal in einer Höhe von 15 % der Bauausgaben zuwendungsfähig. Satz 1 gilt in den Fällen des Abs. 1 Satz 1 Nr. 5 entsprechend mit der Maßgabe, dass 20 % der Bauausgaben zuwendungsfähig sind.</w:t>
      </w:r>
    </w:p>
    <w:p>
      <w:r>
        <w:t xml:space="preserve">(4) Soweit die Fördernachfrage die verfügbaren Ausgabemittel übersteigt, sind die Fördertatbestände nach Abs. 1 Satz 1 Nr. 1 bis 4 auch im Hinblick auf die Fördersätze vorrangig gegenüber den Fördertatbeständen nach Abs. 1 Satz 1 Nr. 5 und 6 zu finanzieren.</w:t>
      </w:r>
    </w:p>
    <w:p>
      <w:r>
        <w:t xml:space="preserve">(5) Die Antragsfrist für eine Förderung von Maßnahmen nach Abs. 1 Satz 1 Nr. 5 und 6 endet am 31. Dezember 2026.</w:t>
      </w:r>
    </w:p>
    <w:p>
      <w:r>
        <w:rPr>
          <w:color w:val="555555"/>
          <w:sz w:val="17"/>
        </w:rPr>
        <w:t xml:space="preserve">Zitiervorschlag: Art 13f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https://recht.nulegal.eu/gesetze/BayFAG/13f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