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13a BayFAG (Bayern) — Straßenbau und -unterhalt bei größeren Gemeinden</w:t>
      </w:r>
    </w:p>
    <w:p>
      <w:r>
        <w:rPr>
          <w:color w:val="555555"/>
          <w:sz w:val="18"/>
        </w:rPr>
        <w:t xml:space="preserve">Bayerisches Finanzausgleichsgesetz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Gemeinden, die</w:t>
      </w:r>
    </w:p>
    <w:p>
      <w:r>
        <w:t xml:space="preserve">1. Träger der Straßenbaulast für Ortsdurchfahrten im Zuge von Bundesstraßen sind,</w:t>
      </w:r>
    </w:p>
    <w:p>
      <w:r>
        <w:t xml:space="preserve">2. Träger der Straßenbaulast für Ortsdurchfahrten im Zuge von Staatsstraßen sind oder</w:t>
      </w:r>
    </w:p>
    <w:p>
      <w:r>
        <w:t xml:space="preserve">3. am 30. Juni 2009 mehr als 5 000 Einwohner hatten und bis 30. Juni 2011 keine Zuweisungen nach Art. 13b Abs. 2 Satz 1 in der bis 31. Dezember 2010 geltenden Fassung gewählt haben,</w:t>
      </w:r>
    </w:p>
    <w:p>
      <w:r>
        <w:t xml:space="preserve">erhalten jährliche pauschale Zuweisungen zum Bau oder Ausbau und zur Unterhaltung der in ihrer Straßenbaulast stehenden Straßen auf Basis der ihnen im Jahr 2016 für das Jahr 2016 bewilligten Zuweisungen.</w:t>
      </w:r>
    </w:p>
    <w:p>
      <w:r>
        <w:rPr>
          <w:color w:val="555555"/>
          <w:sz w:val="17"/>
        </w:rPr>
        <w:t xml:space="preserve">Zitiervorschlag: Art 13a BayFAG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https://recht.nulegal.eu/gesetze/BayFAG/13a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