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10b BayFAG (Bayern) — Krankenhausumlage</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Landkreise und kreisfreien Gemeinden haben die Kosten des Bayerischen Krankenhausgesetzes, soweit sie nicht durch Finanzhilfen des Bundes gedeckt werden, insgesamt zur Hälfte zu tragen (kommunaler Finanzierungsanteil). Satz 1 gilt auch für die Kofinanzierung des Landes zu den Kosten der Vorhaben zur Verbesserung von Versorgungsstrukturen, für die Fördermittel aus dem Strukturfonds gewährt werden, und in den Jahren 2019 bis 2028 für die Finanzierung der nach Überführung in ein Universitätsklinikum fortgeführten Generalsanierung des Klinikums Augsburg.</w:t>
      </w:r>
    </w:p>
    <w:p>
      <w:r>
        <w:t xml:space="preserve">(2) Der kommunale Finanzierungsanteil wird in Form einer Krankenhausumlage erbracht. Die Umlage wird je zur Hälfte nach den Umlagegrundlagen (Art. 21 Abs. 3) und der Einwohnerzahl der Landkreise und kreisfreien Gemeinden erhoben. Wird sie nicht rechtzeitig entrichtet, können Zinsen in Höhe von 6 Prozent erhoben werden.</w:t>
      </w:r>
    </w:p>
    <w:p>
      <w:r>
        <w:rPr>
          <w:color w:val="555555"/>
          <w:sz w:val="17"/>
        </w:rPr>
        <w:t xml:space="preserve">Zitiervorschlag: Art 10b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https://recht.nulegal.eu/gesetze/BayFAG/10b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