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BayEchVO (Bayern)</w:t>
      </w:r>
    </w:p>
    <w:p>
      <w:r>
        <w:rPr>
          <w:color w:val="555555"/>
          <w:sz w:val="18"/>
        </w:rPr>
        <w:t xml:space="preserve">Verordnung zur Übertragung von Aufgaben nach dem Bundesbaugesetz auf die Gemeinde Eching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 147 Abs. 1 des Bundesbaugesetzes in Verbindung mit § 1 des Gesetzes über Ermächtigungen zum Erlaß von Rechtsverordnungen vom 3. Juli 1961 (BGBl. I S. 856) und § 1 Abs. 1 Satz 1 der Verordnung über die Zuständigkeit zum Erlaß von Rechtsverordnungen vom 23. Oktober 1962 (GVBl. S. 281) erläßt das Bayerische Staatsministerium des Innern im Einvernehmen mit der Gemeinde Neufahrn b. Freising folgende Verordnung:</w:t>
      </w:r>
    </w:p>
    <w:p>
      <w:r>
        <w:rPr>
          <w:color w:val="555555"/>
          <w:sz w:val="17"/>
        </w:rPr>
        <w:t xml:space="preserve">Zitiervorschlag: Eingangsformel BayEchVO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https://recht.nulegal.eu/gesetze/BayEchVO/eingangsformel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