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BayEbFöG (Bayern)</w:t>
      </w:r>
    </w:p>
    <w:p>
      <w:r>
        <w:rPr>
          <w:color w:val="555555"/>
          <w:sz w:val="18"/>
        </w:rPr>
        <w:t xml:space="preserve">Bayerisches Erwachsenenbildungsförderungsgesetz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BayEbFöG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https://recht.nulegal.eu/gesetze/BayEbF%C3%B6G/eingangsformel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