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7 BayEbFöG (Bayern) — Zuwendungen als Projektförderung</w:t>
      </w:r>
    </w:p>
    <w:p>
      <w:r>
        <w:rPr>
          <w:color w:val="555555"/>
          <w:sz w:val="18"/>
        </w:rPr>
        <w:t xml:space="preserve">Bayerisches Erwachsenenbildungsförderungsgesetz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Das Staatsministerium kann Bereiche von hoher gesellschaftlicher Bedeutung durch ein- oder mehrjährige Vorhaben fördern. Welche Bereiche diese Bedeutung haben, entscheidet der für Bildung zuständige Ausschuss des Landtags.</w:t>
      </w:r>
    </w:p>
    <w:p>
      <w:r>
        <w:t xml:space="preserve">(2) Förderfähig sind nur Vorhaben von Trägern, die Mitglied einer staatlich anerkannten Landesorganisation oder die selbst staatlich anerkannter Träger auf Landesebene sind.</w:t>
      </w:r>
    </w:p>
    <w:p>
      <w:r>
        <w:t xml:space="preserve">(3) Die Auswahl der Vorhaben und die Vergabe der Zuwendungen erfolgt durch das Staatsministerium nach den allgemein geltenden haushalts- und zuwendungsrechtlichen Vorschriften für Förderungen von Vorhaben sowie anhand der Förderziele nach Art. 1 Abs. 3.</w:t>
      </w:r>
    </w:p>
    <w:p>
      <w:r>
        <w:rPr>
          <w:color w:val="555555"/>
          <w:sz w:val="17"/>
        </w:rPr>
        <w:t xml:space="preserve">Zitiervorschlag: Art 7 BayEbFöG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https://recht.nulegal.eu/gesetze/BayEbF%C3%B6G/7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