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BayEbFöG (Bayern) — Förderempfänger</w:t>
      </w:r>
    </w:p>
    <w:p>
      <w:r>
        <w:rPr>
          <w:color w:val="555555"/>
          <w:sz w:val="18"/>
        </w:rPr>
        <w:t xml:space="preserve">Bayerisches Erwachsenenbildungsförderungsgesetz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Förderempfänger sind Landesorganisationen und Träger auf Landesebene, wenn sie staatlich anerkannt sind.</w:t>
      </w:r>
    </w:p>
    <w:p>
      <w:r>
        <w:t xml:space="preserve">(2) Landesorganisationen der Erwachsenenbildung (Landesorganisationen) sind rechtsfähige Vereinigungen von Trägern, die sich ihrem Vereinszweck nach ausschließlich der Erwachsenenbildung im Sinne von Art. 1 Abs. 1 und 2 widmen und unmittelbar gemeinnützige Zwecke verfolgen.</w:t>
      </w:r>
    </w:p>
    <w:p>
      <w:r>
        <w:t xml:space="preserve">(3) Aufgaben der Landesorganisationen sind insbesondere</w:t>
      </w:r>
    </w:p>
    <w:p>
      <w:r>
        <w:t xml:space="preserve">1. die Beratung ihrer Mitglieder und deren Einrichtungen,</w:t>
      </w:r>
    </w:p>
    <w:p>
      <w:r>
        <w:t xml:space="preserve">2. die Umsetzung der Projektförderung nach Art. 7 im Zusammenwirken mit ihren Mitgliedern – Bedarfsanalyse, Antragskoordination, Evaluation –,</w:t>
      </w:r>
    </w:p>
    <w:p>
      <w:r>
        <w:t xml:space="preserve">3. die Einleitung, bedarfsgerechte Entwicklung und Durchführung zentraler Bildungs- und Fortbildungsmaßnahmen,</w:t>
      </w:r>
    </w:p>
    <w:p>
      <w:r>
        <w:t xml:space="preserve">4. die Einleitung und Betreuung von Kooperationen ihrer Mitglieder,</w:t>
      </w:r>
    </w:p>
    <w:p>
      <w:r>
        <w:t xml:space="preserve">5. die Verteilung staatlicher Fördermittel und</w:t>
      </w:r>
    </w:p>
    <w:p>
      <w:r>
        <w:t xml:space="preserve">6. die Vertretung ihrer Mitglieder und deren Einrichtungen gegenüber der Öffentlichkeit und im Landesbeirat für Erwachsenenbildung.</w:t>
      </w:r>
    </w:p>
    <w:p>
      <w:r>
        <w:t xml:space="preserve">(4) Landesorganisationen werden vom Staatsministerium auf Antrag staatlich anerkannt, wenn sie</w:t>
      </w:r>
    </w:p>
    <w:p>
      <w:r>
        <w:t xml:space="preserve">1. in mindestens vier Regierungsbezirken Mitglieder haben,</w:t>
      </w:r>
    </w:p>
    <w:p>
      <w:r>
        <w:t xml:space="preserve">2. ihre Mitglieder Gewähr dafür bieten, ihre Aufgaben im Rahmen der Gesetze zu erfüllen und eine sachgerechte, zweckentsprechende und wirtschaftliche Verwendung der ihnen zugewiesenen Mittel sicherstellen und</w:t>
      </w:r>
    </w:p>
    <w:p>
      <w:r>
        <w:t xml:space="preserve">3. sicherstellen, dass ihre Mitglieder und deren Einrichtungen die in den Art. 3 und 4 genannten Voraussetzungen erfüllen.</w:t>
      </w:r>
    </w:p>
    <w:p>
      <w:r>
        <w:t xml:space="preserve">Die Anerkennung ist zurückzunehmen, sofern eine der Anerkennungsvoraussetzungen entfällt.</w:t>
      </w:r>
    </w:p>
    <w:p>
      <w:r>
        <w:t xml:space="preserve">(5) Für Träger, die in mindestens vier Regierungsbezirken Einrichtungen betreiben und keiner Landesorganisation angehören (Träger auf Landesebene), gelten die Abs. 2 bis 4 mit der Maßgabe entsprechend, dass sie auch ein organisatorisch und finanziell abgrenzbarer Teil einer rechtsfähigen juristischen Person sein können.</w:t>
      </w:r>
    </w:p>
    <w:p>
      <w:r>
        <w:rPr>
          <w:color w:val="555555"/>
          <w:sz w:val="17"/>
        </w:rPr>
        <w:t xml:space="preserve">Zitiervorschlag: Art 2 BayEbFöG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https://recht.nulegal.eu/gesetze/BayEbF%C3%B6G/2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