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BayEUWahlOrgV (Bayern)</w:t>
      </w:r>
    </w:p>
    <w:p>
      <w:r>
        <w:rPr>
          <w:color w:val="555555"/>
          <w:sz w:val="18"/>
        </w:rPr>
        <w:t xml:space="preserve">Verordnung über die Bildung der Wahlorgane für die Europawahlen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§§ 4 und 5 Abs. 2 Satz 1 des Europawahlgesetzes vom 16. Juni 1978 (BGBl I S. 709) in Verbindung mit § 8 Abs. 3 und § 9 Abs. 1 und Abs. 2 Satz 2 des Bundeswahlgesetzes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BayEUWahlOrgV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https://recht.nulegal.eu/gesetze/BayEUWahlOrgV/eingangsformel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