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BayEUWahlOrgV (Bayern)</w:t>
      </w:r>
    </w:p>
    <w:p>
      <w:r>
        <w:rPr>
          <w:color w:val="555555"/>
          <w:sz w:val="18"/>
        </w:rPr>
        <w:t xml:space="preserve">Verordnung über die Bildung der Wahlorgane für die Europawahlen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Februar 1984 in Kraft.</w:t>
      </w:r>
    </w:p>
    <w:p>
      <w:r>
        <w:t xml:space="preserve">(2) Gleichzeitig tritt die Verordnung über die Bildung der Wahlorgane für die Europawahlen vom 19. Februar 1979 (GVBl S. 23, BayRS 111–4–I) außer Kraft.</w:t>
      </w:r>
    </w:p>
    <w:p>
      <w:r>
        <w:rPr>
          <w:color w:val="555555"/>
          <w:sz w:val="17"/>
        </w:rPr>
        <w:t xml:space="preserve">Zitiervorschlag: § 4 BayEUWahlOrgV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https://recht.nulegal.eu/gesetze/BayEUWahlOrgV/4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