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BayEUWahlOrgV (Bayern)</w:t>
      </w:r>
    </w:p>
    <w:p>
      <w:r>
        <w:rPr>
          <w:color w:val="555555"/>
          <w:sz w:val="18"/>
        </w:rPr>
        <w:t xml:space="preserve">Verordnung über die Bildung der Wahlorgane für die Europawahlen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Gemeinde ernennt die Wahlvorsteher für Wahlbezirke und deren Stellvertreter und beruft die Beisitzer der Wahlvorstände.</w:t>
      </w:r>
    </w:p>
    <w:p>
      <w:r>
        <w:t xml:space="preserve">(2) Der Kreiswahlleiter oder der Stadtwahlleiter ernennt die Wahlvorsteher zur Feststellung des Briefwahlergebnisses und deren Stellvertreter und beruft die Beisitzer der Briefwahlvorstände.</w:t>
      </w:r>
    </w:p>
    <w:p>
      <w:r>
        <w:t xml:space="preserve">(3) Trifft der Kreiswahlleiter eine Anordnung nach § 1, so ernennt die Gemeinde, bei mehreren Gemeinden die gemäß Art. 2 der Ersten Verordnung zur Änderung der Europawahlordnung vom 7. Dezember 1983 (BGBl I S. 1413) in Verbindung mit § 7 Nr. 3 der Bundeswahlordnung mit der Durchführung der Briefwahl betraute Gemeinde die Wahlvorsteher zur Feststellung des Briefwahlergebnisses und deren Stellvertreter; gleiches gilt für die Berufung der Beisitzer der Briefwahlvorstände.</w:t>
      </w:r>
    </w:p>
    <w:p>
      <w:r>
        <w:rPr>
          <w:color w:val="555555"/>
          <w:sz w:val="17"/>
        </w:rPr>
        <w:t xml:space="preserve">Zitiervorschlag: § 3 BayEUWahlOrgV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https://recht.nulegal.eu/gesetze/BayEUWahlOrgV/3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