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99 BayEUG (Bayern) — Änderungen der Genehmigungsvoraussetzungen, Auflösung einer Schule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Wesentliche Änderungen in den Voraussetzungen für die Genehmigung bedürfen der Genehmigung. Art. 94 Abs. 1 Satz 2 gilt entsprechend.</w:t>
      </w:r>
    </w:p>
    <w:p>
      <w:r>
        <w:t xml:space="preserve">(2) Die Auflösung einer Schule ist nur zum Ende eines Schuljahres zulässig; sie ist spätestens drei Monate vorher der Schulaufsichtsbehörde anzuzeigen.</w:t>
      </w:r>
    </w:p>
    <w:p>
      <w:r>
        <w:rPr>
          <w:color w:val="555555"/>
          <w:sz w:val="17"/>
        </w:rPr>
        <w:t xml:space="preserve">Zitiervorschlag: Art 99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https://recht.nulegal.eu/gesetze/BayEUG/99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