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97 BayEUG (Bayern) — Wirtschaftliche und rechtliche Stellung der Lehrkräfte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wirtschaftliche und rechtliche Stellung der Lehrkräfte an einer Ersatzschule, die nicht einer kirchlichen Genossenschaft angehören, ist dann genügend gesichert, wenn</w:t>
      </w:r>
    </w:p>
    <w:p>
      <w:r>
        <w:t xml:space="preserve">1. über das Anstellungsverhältnis ein schriftlicher oder unter Verwendung einer dauerhaft überprüfbaren qualifizierten elektronischen Signatur elektronischer Vertrag abgeschlossen ist, in dem klare Kündigungsbedingungen, der Anspruch auf Urlaub und die regelmäßige Pflichtstundenzahl festgelegt sind,</w:t>
      </w:r>
    </w:p>
    <w:p>
      <w:r>
        <w:t xml:space="preserve">2. die Gehälter und Vergütungen bei entsprechenden Anforderungen hinter den Gehältern der Lehrkräfte an vergleichbaren öffentlichen Schulen nicht wesentlich zurückbleiben und in regelmäßigen Zeitabschnitten gezahlt werden,</w:t>
      </w:r>
    </w:p>
    <w:p>
      <w:r>
        <w:t xml:space="preserve">3. für die Lehrkräfte eine Anwartschaft auf Versorgung erworben wird, die wenigstens den Bestimmungen der Angestelltenversicherung entspricht.</w:t>
      </w:r>
    </w:p>
    <w:p>
      <w:r>
        <w:t xml:space="preserve">(2) Ersatzschulen, die nicht nur vorläufig genehmigt sind, können den an ihnen mit mindestens der Hälfte der Unterrichtspflichtzeit tätigen Lehrkräften nach Maßgabe des Arbeitsvertrags auf die Dauer der Verwendung das Recht einräumen, Berufsbezeichnungen zu führen, die das Staatsministerium für bestimmte Gruppen von Lehrkräften allgemein festsetzt. Lehrkräfte, die wegen Alters oder Dienstunfähigkeit ausscheiden, sind berechtigt, ihre bisherige Berufsbezeichnung mit dem Zusatz „a.D.“ widerruflich weiterzuführen.</w:t>
      </w:r>
    </w:p>
    <w:p>
      <w:r>
        <w:rPr>
          <w:color w:val="555555"/>
          <w:sz w:val="17"/>
        </w:rPr>
        <w:t xml:space="preserve">Zitiervorschlag: Art 97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https://recht.nulegal.eu/gesetze/BayEUG/97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