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BayEUG (Bayern) — Zuständigkeit und Verfahren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Ordnungsmaßnahmen entscheidet in den Fällen des Art. 86 Abs. 2</w:t>
      </w:r>
    </w:p>
    <w:p>
      <w:r>
        <w:t xml:space="preserve">1.</w:t>
      </w:r>
    </w:p>
    <w:p>
      <w:r>
        <w:t xml:space="preserve">Nr. 1</w:t>
      </w:r>
    </w:p>
    <w:p>
      <w:r>
        <w:t xml:space="preserve">die Lehrkraft oder Förderlehrkraft,</w:t>
      </w:r>
    </w:p>
    <w:p>
      <w:r>
        <w:t xml:space="preserve">2.</w:t>
      </w:r>
    </w:p>
    <w:p>
      <w:r>
        <w:t xml:space="preserve">Nr. 2 bis 4</w:t>
      </w:r>
    </w:p>
    <w:p>
      <w:r>
        <w:t xml:space="preserve">die Schulleiterin oder der Schulleiter,</w:t>
      </w:r>
    </w:p>
    <w:p>
      <w:r>
        <w:t xml:space="preserve">3.</w:t>
      </w:r>
    </w:p>
    <w:p>
      <w:r>
        <w:t xml:space="preserve">Nr. 5 bis 7, 9 und 10</w:t>
      </w:r>
    </w:p>
    <w:p>
      <w:r>
        <w:t xml:space="preserve">die Lehrerkonferenz, in den Fällen der Nrn. 9 und 10 im Einvernehmen mit der Schulaufsichtsbehörde und</w:t>
      </w:r>
    </w:p>
    <w:p>
      <w:r>
        <w:t xml:space="preserve">4.</w:t>
      </w:r>
    </w:p>
    <w:p>
      <w:r>
        <w:t xml:space="preserve">Nr. 8</w:t>
      </w:r>
    </w:p>
    <w:p>
      <w:r>
        <w:t xml:space="preserve">die zuständige Schulaufsichtsbehörde auf Antrag der Lehrerkonferenz.</w:t>
      </w:r>
    </w:p>
    <w:p>
      <w:r>
        <w:t xml:space="preserve">(2) Über Sicherungsmaßnahmen entscheidet in den Fällen des Art. 87</w:t>
      </w:r>
    </w:p>
    <w:p>
      <w:r>
        <w:t xml:space="preserve">1.</w:t>
      </w:r>
    </w:p>
    <w:p>
      <w:r>
        <w:t xml:space="preserve">Nr. 1</w:t>
      </w:r>
    </w:p>
    <w:p>
      <w:r>
        <w:t xml:space="preserve">die Schulleiterin oder der Schulleiter,</w:t>
      </w:r>
    </w:p>
    <w:p>
      <w:r>
        <w:t xml:space="preserve">2.</w:t>
      </w:r>
    </w:p>
    <w:p>
      <w:r>
        <w:t xml:space="preserve">Nr. 2</w:t>
      </w:r>
    </w:p>
    <w:p>
      <w:r>
        <w:t xml:space="preserve">die Schulaufsichtsbehörde auf Antrag der Lehrerkonferenz.</w:t>
      </w:r>
    </w:p>
    <w:p>
      <w:r>
        <w:t xml:space="preserve">(3) Über die Wiederaufnahme nach Art. 86 Abs. 4 entscheidet die Schulleiterin oder der Schulleiter, nach zweimaliger Entlassung bedarf die Wiederaufnahme des Einvernehmens der Schulaufsichtsbehörde, nach dreimaliger Entlassung der Genehmigung des zuständigen Staatsministeriums, welche auch die Schule bestimmen.</w:t>
      </w:r>
    </w:p>
    <w:p>
      <w:r>
        <w:t xml:space="preserve">(4) Vor der jeweiligen Entscheidung sind anzuhören</w:t>
      </w:r>
    </w:p>
    <w:p>
      <w:r>
        <w:t xml:space="preserve">1. die Schülerin oder der Schüler in den Fällen des Art. 86 Abs. 2 und Art. 87 Nr. 2,</w:t>
      </w:r>
    </w:p>
    <w:p>
      <w:r>
        <w:t xml:space="preserve">2. die Erziehungsberechtigten in den Fällen des Art. 86 Abs. 2 Nr. 3 bis 10 und Art. 87 Nr. 2.</w:t>
      </w:r>
    </w:p>
    <w:p>
      <w:r>
        <w:t xml:space="preserve">Vor jeder Entscheidung oder einem Antrag der Lehrerkonferenz können die Schülerin oder der Schüler sowie die Erziehungsberechtigten auf Antrag in der Konferenz persönlich vortragen. Auf Antrag anzuhören sind</w:t>
      </w:r>
    </w:p>
    <w:p>
      <w:r>
        <w:t xml:space="preserve">1. Beratungslehrkräfte, Schulpsychologinnen und Schulpsychologen oder eine Lehrkraft des Vertrauens in den Fällen des Art. 86 Abs. 2 Nr. 3 bis 10 sowie</w:t>
      </w:r>
    </w:p>
    <w:p>
      <w:r>
        <w:t xml:space="preserve">2. ein Mitglied des Elternbeirates bei Ordnungsmaßnahmen nach Art. 86 Abs. 2 Nr. 5 bis 10.</w:t>
      </w:r>
    </w:p>
    <w:p>
      <w:r>
        <w:t xml:space="preserve">Art. 24 des Bayerischen Verwaltungsverfahrensgesetzes (BayVwVfG) bleibt unberührt. Auf die Rechte nach den Sätzen 1 bis 3 sind die Betroffenen rechtzeitig hinzuweisen.</w:t>
      </w:r>
    </w:p>
    <w:p>
      <w:r>
        <w:t xml:space="preserve">(5) Über getroffene Ordnungs- und Sicherungsmaßnahmen sind zu unterrichten</w:t>
      </w:r>
    </w:p>
    <w:p>
      <w:r>
        <w:t xml:space="preserve">1. die Schülerin oder der Schüler und die Erziehungsberechtigten,</w:t>
      </w:r>
    </w:p>
    <w:p>
      <w:r>
        <w:t xml:space="preserve">2. bei volljährigen Schülerinnen und Schülern vor Vollendung des 21. Lebensjahres die früheren Erziehungsberechtigten in den Fällen des Art. 86 Abs. 2 Nr. 5 bis 10 und Art. 87,</w:t>
      </w:r>
    </w:p>
    <w:p>
      <w:r>
        <w:t xml:space="preserve">3. das zuständige staatliche Schulamt oder die zuständige oder nächstgelegene Berufsschule in den Fällen des Art. 86 Abs. 2 Nr. 7, solange die Schulpflicht besteht,</w:t>
      </w:r>
    </w:p>
    <w:p>
      <w:r>
        <w:t xml:space="preserve">4. die Schulaufsichtsbehörde, die Polizei, der örtliche Träger der Jugendhilfe und die Beratungslehrkräfte oder Schulpsychologen in den Fällen des Art. 87 Nr. 1.</w:t>
      </w:r>
    </w:p>
    <w:p>
      <w:r>
        <w:t xml:space="preserve">Die Erziehungsberechtigten sind in den Fällen des Art. 86 Abs. 2 Nr. 3 bis 10 vor dem Vollzug rechtzeitig und in Textform unter Angabe des zugrunde liegenden Sachverhalts zu unterrichten, für Erziehungsmaßnahmen des Art. 86 Abs. 1 Satz 2 gilt dies entsprechend. Im Übrigen kann die Unterrichtung nach Vollzug erfolgen.</w:t>
      </w:r>
    </w:p>
    <w:p>
      <w:r>
        <w:t xml:space="preserve">(6) Eingeleitete Verfahren werden durch einen späteren Schulwechsel nicht berührt. Bis zum Abschluss des Verfahrens gilt die Schülerin oder der Schüler als derjenigen Schule zugehörend, die das Verfahren eingeleitet hat.</w:t>
      </w:r>
    </w:p>
    <w:p>
      <w:r>
        <w:t xml:space="preserve">(7) Die Anordnung von Ordnungs- und Sicherungsmaßnahmen in elektronischer Form ist ausgeschlossen.</w:t>
      </w:r>
    </w:p>
    <w:p>
      <w:r>
        <w:t xml:space="preserve">(8) Widerspruch und Anfechtungsklage gegen Ordnungs- und Sicherungsmaßnahmen nach den Art. 86 Abs. 2 sowie Art. 87 haben keine aufschiebende Wirkung.</w:t>
      </w:r>
    </w:p>
    <w:p>
      <w:r>
        <w:rPr>
          <w:color w:val="555555"/>
          <w:sz w:val="17"/>
        </w:rPr>
        <w:t xml:space="preserve">Zitiervorschlag: Art 88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