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85a BayEUG (Bayern) — Automatisiertes Verfahren zur Unterstützung der 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für die Schulen eine öffentliche Stelle als Auftragsverarbeiter gemäß Art. 28 der Verordnung (EU) 2016/679 (Datenschutz-Grundverordnung – DSGVO) beauftragen, personenbezogene Daten von Schülerinnen und Schülern und deren Erziehungsberechtigten zu den in Abs. 2 genannten schulübergreifenden Verwaltungszwecken zu verarbeiten; die Schulen werden von der Auftragserteilung unterrichtet; sie bleiben für diese Daten verantwortlich. Die datenschutzrechtliche Gesamtverantwortung liegt beim Staatsministerium.</w:t>
      </w:r>
    </w:p>
    <w:p>
      <w:r>
        <w:t xml:space="preserve">(2) Bei der gemäß Abs. 1 Satz 1 beauftragten Stelle können zur Unterstützung der Schulanmeldung, des Schulwechsels, der Kooperation von Schulen und zur Überwachung der Schulpflicht folgende personenbezogenen Daten verarbeitet werden:</w:t>
      </w:r>
    </w:p>
    <w:p>
      <w:r>
        <w:t xml:space="preserve">1. Daten von Schülerinnen und Schülern:</w:t>
      </w:r>
    </w:p>
    <w:p>
      <w:r>
        <w:t xml:space="preserve">a) nicht schuljahresbezogene Daten:</w:t>
      </w:r>
    </w:p>
    <w:p>
      <w:r>
        <w:t xml:space="preserve">Name, Vornamen, Tag der Geburt, Geburtsort, Geschlecht, Staatsangehörigkeit, Migrationshintergrund (Geburtsland, Jahr des Zuzugs nach Deutschland, Muttersprache deutsch/nicht deutsch), Religionszugehörigkeit (soweit für die Schulpraxis erforderlich), Jahr der Ersteinschulung, Schullaufbahndaten, erworbene Abschlüsse, Adressdaten, einschließlich der zugehörigen geografischen Gitterzelle;</w:t>
      </w:r>
    </w:p>
    <w:p>
      <w:r>
        <w:t xml:space="preserve">b) schuljahresbezogene Daten:</w:t>
      </w:r>
    </w:p>
    <w:p>
      <w:r>
        <w:t xml:space="preserve">Daten zur Förderung (sonderpädagogische Förderung, Beeinträchtigungen, soweit sie Fördermaßnahmen an der Schule begründen oder schulorganisatorische Relevanz haben, Fördermaßnahmen), ganztägige Betreuung, Schülerheim, Gastschulverhältnis, übertrittsrelevante Daten zur Schullaufbahn (aktuell besuchte Schule, Schulpflicht, Feststellung zur Übertrittseignung betreffend Mittelschule, Realschule und Gymnasium, Vorbildung, Austrittsdatum, Zielschule), Daten zum aktuellen Unterricht (Jahrgangsstufe, Bildungsgang, Fremdsprachen, Berufsausbildung, Erreichen des Ziels der Jahrgangsstufe [ja/nein], Art der Wiederholung, Art des Vorrückens), bei vollzeitschulpflichtigen Schülerinnen und Schülern die Tatsache, dass es sich um Kinder von beruflich Reisenden oder von Personen ohne gewöhnlichen Aufenthalt handelt;</w:t>
      </w:r>
    </w:p>
    <w:p>
      <w:r>
        <w:t xml:space="preserve">2. Daten der Erziehungsberechtigten (an öffentlichen Schulen und staatlich anerkannten Ersatzschulen mit dem Charakter öffentlicher Schulen auch Daten früherer Erziehungsberechtigter bei volljährigen Schülerinnen und Schülern vor Vollendung des 21. Lebensjahres):</w:t>
      </w:r>
    </w:p>
    <w:p>
      <w:r>
        <w:t xml:space="preserve">Name, Adressdaten;</w:t>
      </w:r>
    </w:p>
    <w:p>
      <w:r>
        <w:t xml:space="preserve">3. die unter Nr. 1 Buchst. a genannten Daten von externen Prüfungsteilnehmerinnen und Prüfungsteilnehmern ausgenommen die Religionszugehörigkeit.</w:t>
      </w:r>
    </w:p>
    <w:p>
      <w:r>
        <w:t xml:space="preserve">(3) Ausschließlich den Schulen und nur zur Erfüllung der in Abs. 2 genannten Dienstaufgaben dürfen von der gemäß Abs. 1 Satz 1 beauftragten Stelle die in Abs. 2 genannten Daten weitergegeben werden. Dies ist durch organisatorische und technische Vorkehrungen dauerhaft zu gewährleisten. Datenabrufe sind an den Schulen zu protokollieren. Soweit zur Herstellung der landesweiten Eindeutigkeit Ordnungsmerkmale technisch erzeugt werden, dürfen diese weder bei der beauftragten Stelle noch bei den Schulen einsehbar sein.</w:t>
      </w:r>
    </w:p>
    <w:p>
      <w:r>
        <w:t xml:space="preserve">(4) Die in Abs. 2 Nr. 1 Buchst. a und Nr. 2 genannten Daten werden sechs Jahre nach dem Ausscheiden der Schülerin oder des Schülers aus dem bayerischen Schulsystem gelöscht; die übrigen in Abs. 2 genannten Daten werden spätestens ein Jahr nach der Erhebung gelöscht.</w:t>
      </w:r>
    </w:p>
    <w:p>
      <w:r>
        <w:rPr>
          <w:color w:val="555555"/>
          <w:sz w:val="17"/>
        </w:rPr>
        <w:t xml:space="preserve">Zitiervorschlag: Art 85a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