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64 BayEUG (Bayern) — Einrichtungen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An allen Grundschulen, Mittelschulen, Realschulen, Gymnasien, Fachoberschulen und an Berufsfachschulen, an denen die Schulpflicht erfüllt werden kann, sowie an entsprechenden Schulen zur sonderpädagogischen Förderung wird ein Elternbeirat gebildet.</w:t>
      </w:r>
    </w:p>
    <w:p>
      <w:r>
        <w:t xml:space="preserve">(2) An allen Grundschulen und Mittelschulen werden Klassenelternsprecher gewählt; an Gymnasien, Realschulen, Wirtschaftsschulen und Förderzentren beschließt der Elternbeirat, ob Klassenelternsprecher für alle oder einzelne Jahrgangsstufen der Schule als Helfer des Elternbeirats gewählt werden. Bestehen innerhalb einer Gemeinde oder eines Schulverbands jeweils mehrere Grundschulen, Mittelschulen oder Förderzentren, so wird für diese zusätzlich jeweils ein gemeinsamer Elternbeirat gewählt, wenn das mindestens zwei der betroffenen Elternbeiräte verlangen. Satz 2 gilt für Förderzentren entsprechend, soweit ein Landkreis oder Bezirk den Sachbedarf mehrerer Förderzentren trägt, sowie für Schulverbünde.</w:t>
      </w:r>
    </w:p>
    <w:p>
      <w:r>
        <w:t xml:space="preserve">(3) An den in Abs. 1 genannten Schulen wird für jede Klasse mindestens einmal im Schuljahr eine Klassenelternversammlung abgehalten.</w:t>
      </w:r>
    </w:p>
    <w:p>
      <w:r>
        <w:rPr>
          <w:color w:val="555555"/>
          <w:sz w:val="17"/>
        </w:rPr>
        <w:t xml:space="preserve">Zitiervorschlag: Art 64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https://recht.nulegal.eu/gesetze/BayEUG/64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