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62a BayEUG (Bayern) — Landesschülerkonferenz, Landesschülerrat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Landesschülerkonferenz dient insbesondere der Erörterung allgemeiner schulischer Angelegenheiten. Sie tagt wenigstens zweimal im Jahr. Art und Umfang der Aufsicht über die teilnehmenden Schülerinnen und Schüler richtet sich nach deren Alter und Reife. Die Landesschülerkonferenz ist berechtigt, sich eine Geschäftsordnung zu geben.</w:t>
      </w:r>
    </w:p>
    <w:p>
      <w:r>
        <w:t xml:space="preserve">(2) Aus der Mitte der Landesschülerkonferenz werden insgesamt sechs Landesschülersprecherinnen und Landesschülersprecher für ein Jahr gewählt. Dabei werden für die Mittelschulen, Realschulen, Gymnasien und Förderschulen jeweils eine Landesschülersprecherin oder ein Landesschülersprecher gewählt; für die Gruppe der Berufsschulen, Berufsfachschulen, Wirtschaftsschulen, Fachschulen und Fachakademien sowie für die Gruppe der Fachoberschulen und Berufsoberschulen wird je eine Landesschülersprecherin oder ein Landesschülersprecher gewählt. Diese bilden den Vorstand der Landesschülerkonferenz (Landesschülerrat). Gleichzeitig werden entsprechend die Stellvertreterinnen und Stellvertreter der Landesschülersprecherinnen und Landesschülersprecher gewählt. Aus deren Mitte werden zwei Schülerinnen oder Schüler zum Zweck der Mitgliedschaft im Landesschulbeirat gewählt.</w:t>
      </w:r>
    </w:p>
    <w:p>
      <w:r>
        <w:t xml:space="preserve">(3) Zu den Rechten des Landesschülerrats gehört es,</w:t>
      </w:r>
    </w:p>
    <w:p>
      <w:r>
        <w:t xml:space="preserve">1. in Bezug auf grundlegende, die Schülerinnen und Schüler betreffende schulische Angelegenheiten durch das Staatsministerium informiert und angehört zu werden und</w:t>
      </w:r>
    </w:p>
    <w:p>
      <w:r>
        <w:t xml:space="preserve">2. Anregungen und Vorschläge der Schülerinnen und Schüler an das Staatsministerium zu richten.</w:t>
      </w:r>
    </w:p>
    <w:p>
      <w:r>
        <w:t xml:space="preserve">Abs. 1 Satz 4 gilt entsprechend.</w:t>
      </w:r>
    </w:p>
    <w:p>
      <w:r>
        <w:t xml:space="preserve">(4) Zur Beratung der Schülerinnen und Schüler bei ihrer Tätigkeit in der Landesschülerkonferenz und zur Unterstützung der Kommunikation zwischen ihnen und den Schulaufsichtsbehörden wird eine Lehrkraft als Koordinatorin oder Koordinator bestellt.</w:t>
      </w:r>
    </w:p>
    <w:p>
      <w:r>
        <w:rPr>
          <w:color w:val="555555"/>
          <w:sz w:val="17"/>
        </w:rPr>
        <w:t xml:space="preserve">Zitiervorschlag: Art 62a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