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57a BayEUG (Bayern) — Erweiterte Schulleitung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staatlichen Schulen kann das zuständige Staatsministerium auf Antrag der Schulleiterin oder des Schulleiters zur Unterstützung bei der Erledigung der Aufgaben gemäß Art. 57 Abs. 1 bis 3 eine erweiterte Schulleitung einrichten. Die Entscheidung über den Antrag erfolgt nach Maßgabe der im Staatshaushalt bereitgestellten Stellen und Mittel.</w:t>
      </w:r>
    </w:p>
    <w:p>
      <w:r>
        <w:t xml:space="preserve">(2) Voraussetzung für die Einrichtung einer erweiterten Schulleitung ist, dass dies auf Grund der Zahl der an der Schule tätigen staatlichen Lehrkräfte sowie auf Grund der Struktur der Schulart zweckdienlich ist. Dabei sind auch die Schulen, mit deren Leitung die Schulleiterin oder der Schulleiter gemäß Art. 57 Abs. 1 Satz 2 betraut ist, einzubeziehen, soweit sie einer Schulart angehören, welche die für die Einrichtung einer erweiterten Schulleitung erforderliche Struktur gemäß Satz 1 aufweist.</w:t>
      </w:r>
    </w:p>
    <w:p>
      <w:r>
        <w:t xml:space="preserve">(3) Die erweiterte Schulleitung besteht aus dem ständigen Vertreter sowie erforderlichenfalls weiteren staatlichen Lehrkräften mit Führungs- und Personalverantwortung nach Maßgabe der Rechts- und Verwaltungsvorschriften. Die Mitglieder der erweiterten Schulleitung sind gegenüber den ihnen von der Schulleiterin oder dem Schulleiter zugeordneten Lehrkräften weisungsberechtigt.</w:t>
      </w:r>
    </w:p>
    <w:p>
      <w:r>
        <w:t xml:space="preserve">(4) Die Staatsregierung wird ermächtigt, durch Rechtsverordnung die für die Antragsberechtigung maßgeblichen Kriterien, insbesondere Mindestanzahl der Lehrkräfte und Struktur der Schulart, festzulegen sowie das Auswahlverfahren zu regeln.</w:t>
      </w:r>
    </w:p>
    <w:p>
      <w:r>
        <w:t xml:space="preserve">(5) An kommunalen Schulen kann durch Entscheidung des Schulträgers eine erweiterte Schulleitung eingerichtet werden. Die Abs. 1 bis 3 gelten entsprechend.</w:t>
      </w:r>
    </w:p>
    <w:p>
      <w:r>
        <w:rPr>
          <w:color w:val="555555"/>
          <w:sz w:val="17"/>
        </w:rPr>
        <w:t xml:space="preserve">Zitiervorschlag: Art 57a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