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BayEUG (Bayern) — Lernmittel, Lehrmittel</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Schulbücher und Arbeitshefte dürfen in der Schule nur verwendet werden, wenn sie für den Gebrauch in der betreffenden Schulart und Jahrgangsstufe sowie in dem betreffenden Unterrichtsfach durch das zuständige Staatsministerium zugelassen sind. Die Zulassung setzt voraus, dass diese die Anforderungen nach Art. 45 Abs. 1 erfüllen und den pädagogischen und fachlichen Erkenntnissen für die betreffende Schulart und Jahrgangsstufe entsprechen. Sätze 1 und 2 gelten nicht für die Lernmittel der Fächer des fachlichen Unterrichts an beruflichen Schulen; auch bei diesen Lernmitteln ist auf die alters- und lehrplangemäße Verwendung in der Schule zu achten. Das zuständige Staatsministerium wird ermächtigt, durch Rechtsverordnung die Lernmittel, die prüfungspflichtig sind, die Anforderungen an die äußere Gestaltung sowie Zuständigkeit und Verfahren für die Zulassung und Verwendung von Lern- und Lehrmitteln festzulegen.</w:t>
      </w:r>
    </w:p>
    <w:p>
      <w:r>
        <w:t xml:space="preserve">(2) Über die Einführung zugelassener oder nach Abs. 1 Satz 3 nicht zulassungspflichtiger Lernmittel an der Schule entscheidet die Lehrerkonferenz oder der zuständige Ausschuss im Rahmen der zur Verfügung stehenden Haushaltsmittel in Abstimmung mit dem Elternbeirat und bei Berufsschulen mit dem Berufsschulbeirat.</w:t>
      </w:r>
    </w:p>
    <w:p>
      <w:r>
        <w:t xml:space="preserve">(3) Die Schule kann die Verwendung bestimmter übriger Lernmittel im Sinn des Art. 21 Abs. 3 Satz 1 des Bayerischen Schulfinanzierungsgesetzes (BaySchFG) in Abstimmung mit dem Elternbeirat und bei Berufsschulen mit dem Berufsschulbeirat anordnen und hierbei insbesondere Höchstbeträge vorsehen.</w:t>
      </w:r>
    </w:p>
    <w:p>
      <w:r>
        <w:rPr>
          <w:color w:val="555555"/>
          <w:sz w:val="17"/>
        </w:rPr>
        <w:t xml:space="preserve">Zitiervorschlag: Art 51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