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BayEUG (Bayern) — Ethikunterricht, Islamischer Unterricht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die nicht am Religionsunterricht teilnehmen, sind verpflichtet, am Ethikunterricht oder am Islamischen Unterricht teilzunehmen.</w:t>
      </w:r>
    </w:p>
    <w:p>
      <w:r>
        <w:t xml:space="preserve">(2) Der Ethikunterricht dient der Erziehung der Schülerinnen und Schüler zu werteinsichtigem Urteilen und Handeln. Sein Inhalt orientiert sich an den sittlichen Grundsätzen, wie sie in der Verfassung und im Grundgesetz niedergelegt sind. Im Übrigen berücksichtigt er die Pluralität der Bekenntnisse und Weltanschauungen.</w:t>
      </w:r>
    </w:p>
    <w:p>
      <w:r>
        <w:t xml:space="preserve">(3) Abs. 2 gilt entsprechend für den Islamischen Unterricht. Dieser vermittelt zugleich Wissen über die Weltreligion Islam und behandelt sie in interkultureller Sicht.</w:t>
      </w:r>
    </w:p>
    <w:p>
      <w:r>
        <w:rPr>
          <w:color w:val="555555"/>
          <w:sz w:val="17"/>
        </w:rPr>
        <w:t xml:space="preserve">Zitiervorschlag: Art 47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