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BayEUG (Bayern) — Gastschulverhältnisse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der Erziehungsberechtigten kann aus zwingenden persönlichen Gründen der Besuch einer anderen Grundschule oder Mittelschule mit einem anderen Sprengel gestattet werden. Die Entscheidung trifft die Gemeinde, in der die Schülerinnen und Schüler ihren gewöhnlichen Aufenthalt haben, im Einvernehmen mit dem aufnehmenden Schulaufwandsträger nach Anhörung der betroffenen Schulen. Die Fachaufsicht obliegt dem Schulamt, das die Aufsicht über die Schule ausübt, in deren Schulsprengel die Schülerinnen und Schüler ihren gewöhnlichen Aufenthalt haben. Das Staatsministerium wird ermächtigt, das Verfahren durch Rechtsverordnung zu regeln.</w:t>
      </w:r>
    </w:p>
    <w:p>
      <w:r>
        <w:t xml:space="preserve">(2) Das Schulamt kann Schülerinnen und Schüler einer anderen Grundschule oder Mittelschule mit einem anderen Sprengel zuweisen</w:t>
      </w:r>
    </w:p>
    <w:p>
      <w:r>
        <w:t xml:space="preserve">1. in Mittlere-Reife-Klassen und in Klassen und Unterrichtsgruppen, die für besondere pädagogische Aufgaben eingerichtet sind,</w:t>
      </w:r>
    </w:p>
    <w:p>
      <w:r>
        <w:t xml:space="preserve">2. zum Unterricht in einzelnen Fächern sowie zum Besuch eines offenen Ganztagsangebots,</w:t>
      </w:r>
    </w:p>
    <w:p>
      <w:r>
        <w:t xml:space="preserve">3. wenn sich in einer Jahrgangsstufe der Grundschule oder Mittelschule zu wenige Schülerinnen und Schüler für die Bildung einer Klasse befinden, im Benehmen mit den betroffenen Schulaufwandsträgern,</w:t>
      </w:r>
    </w:p>
    <w:p>
      <w:r>
        <w:t xml:space="preserve">4. in den Fällen des Art. 29 Abs. 4 oder des Art. 86 Abs. 2 Nr. 8,</w:t>
      </w:r>
    </w:p>
    <w:p>
      <w:r>
        <w:t xml:space="preserve">5. zum Unterricht in einer Schule nach Art. 30 Abs. 3, sofern diese einen von der Schule festgestellten sonderpädagogischen Förderbedarf und ihren gewöhnlichen Aufenthalt in einem Sprengel haben, dessen Schulaufwandsträger nach Art. 30 Abs. 3 Satz 1 zugestimmt hat.</w:t>
      </w:r>
    </w:p>
    <w:p>
      <w:r>
        <w:t xml:space="preserve">(3) Bestehen innerhalb einer Gemeinde mehrere Grundschulen, so kann das Schulamt im Benehmen mit der Gemeinde zur Bildung möglichst gleich starker Klassen für die Dauer von bis zu sechs Jahren auch einzelne Schülerinnen und Schüler einer benachbarten Grundschule zuweisen.</w:t>
      </w:r>
    </w:p>
    <w:p>
      <w:r>
        <w:t xml:space="preserve">(4) Für Förderzentren, einschließlich der Schulvorbereitenden Einrichtungen, gelten die Abs. 1 bis 3 entsprechend; die Entscheidung nach Abs. 1 trifft die Gebietskörperschaft des gewöhnlichen Aufenthalts der Schülerinnen und Schüler, für deren Gebiet oder Teilgebiet die entsprechende Förderschule errichtet ist oder errichtet werden müsste, bei Entscheidungen nach Abs. 2 und 3 ist anstelle des Schulamts die Regierung zuständig. Die Schulaufsichtsbehörde kann Schülerinnen und Schüler oder Kinder der nächstgelegenen geeigneten Förderschule zuweisen, wenn sie ihren gewöhnlichen Aufenthalt an einem Ort haben, der von keinem Sprengel einer nach ihrem sonderpädagogischen Förderbedarf in Betracht kommenden Schule erfasst ist; bei privaten Förderzentren setzt dies die Zustimmung des Trägers voraus. Die Regierung kann Schülerinnen und Schüler zum Besuch einer Partnerklasse einer anderen Förderschule unter Berücksichtigung der Schülerbeförderungskosten in besonderen Fällen zuweisen.</w:t>
      </w:r>
    </w:p>
    <w:p>
      <w:r>
        <w:t xml:space="preserve">(5) Aus wichtigen Gründen kann der Besuch einer anderen Berufsschule genehmigt oder angeordnet werden. Das Staatsministerium wird ermächtigt, durch Rechtsverordnung Tatbestände festzulegen, die als wichtige Gründe gelten. Für die Genehmigung eines Gastschulverhältnisses ist die abgebende Berufsschule zuständig, wenn mit der aufnehmenden Berufsschule und den zuständigen Schulaufwandsträgern über die Begründung des Gastschulverhältnisses Einvernehmen besteht. In den übrigen Fällen entscheidet die für die abgebende Schule zuständige Regierung. Für Berufsschulen zur sonderpädagogischen Förderung gelten Sätze 1 bis 4 entsprechend.</w:t>
      </w:r>
    </w:p>
    <w:p>
      <w:r>
        <w:rPr>
          <w:color w:val="555555"/>
          <w:sz w:val="17"/>
        </w:rPr>
        <w:t xml:space="preserve">Zitiervorschlag: Art 43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