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40 BayEUG (Bayern) — Berufsschulberechtigung</w:t>
      </w:r>
    </w:p>
    <w:p>
      <w:r>
        <w:rPr>
          <w:color w:val="555555"/>
          <w:sz w:val="18"/>
        </w:rPr>
        <w:t xml:space="preserve">Bayerisches Gesetz über das Erziehungs- und Unterrichtswesen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Zum Besuch der Berufsschule sind berechtigt:</w:t>
      </w:r>
    </w:p>
    <w:p>
      <w:r>
        <w:t xml:space="preserve">1. Personen, die nicht mehr berufsschulpflichtig sind, sich aber in Berufsausbildung befinden,</w:t>
      </w:r>
    </w:p>
    <w:p>
      <w:r>
        <w:t xml:space="preserve">2. Personen, die nach dem Berufsbildungsgesetz oder der Handwerksordnung eine Umschulung auf einen anerkannten Ausbildungsberuf durchlaufen.</w:t>
      </w:r>
    </w:p>
    <w:p>
      <w:r>
        <w:t xml:space="preserve">Die Ausbildenden haben den Besuch der Berufsschule zu gestatten. Nicht mehr berufsschulpflichtige Personen sind zum Besuch des Berufsgrundschuljahres berechtigt.</w:t>
      </w:r>
    </w:p>
    <w:p>
      <w:r>
        <w:rPr>
          <w:color w:val="555555"/>
          <w:sz w:val="17"/>
        </w:rPr>
        <w:t xml:space="preserve">Zitiervorschlag: Art 40 BayEUG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https://recht.nulegal.eu/gesetze/BayEUG/40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