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BayEUG (Bayern) — Schulvorbereitende Einrichtungen und Mobile Sonderpädagogische Hilfe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Noch nicht schulpflichtige Kinder mit sonderpädagogischem Förderbedarf, die zur Entwicklung ihrer Fähigkeiten auch im Hinblick auf die Schulfähigkeit sonderpädagogischer Anleitung und Unterstützung bedürfen, sollen in Schulvorbereitenden Einrichtungen gefördert werden, sofern sie die notwendige Förderung nicht in anderen, außerschulischen Einrichtungen erhalten. Schulvorbereitende Einrichtungen sind Bestandteile von Förderzentren; der Schulleiter leitet auch die Schulvorbereitende Einrichtung. Eine Schulvorbereitende Einrichtung hat keine anderen Förderschwerpunkte als die Förderschule, der sie angehört. Die Schulvorbereitenden Einrichtungen verfolgen die in Art. 19 Abs. 3 genannten Ziele in den letzten drei Jahren vor dem regelmäßigen Beginn der Schulpflicht. Sie leisten die Förderung in Gruppen, in denen die Kinder höchstens im zeitlichen Umfang wie in der Jahrgangsstufe 1 der entsprechenden Schule unterwiesen werden.</w:t>
      </w:r>
    </w:p>
    <w:p>
      <w:r>
        <w:t xml:space="preserve">(2) Für noch nicht schulpflichtige Kinder mit sonderpädagogischem Förderbedarf, die zur Entwicklung ihrer Fähigkeiten, ihrer Gesamtpersönlichkeit und für ein selbständiges Lernen und Handeln auch im Hinblick auf die Schulreife spezielle sonderpädagogische Anleitung und Unterstützung benötigen, können die fachlich entsprechenden Förderschulen bei anderweitig nicht gedecktem Bedarf Mobile Sonderpädagogische Hilfe in der Familie, in den Kindertageseinrichtungen und im Rahmen der interdisziplinären Frühförderung leisten. Sie fördern die Entwicklung der Kinder, beraten die Eltern und Erzieher und verfolgen dabei die in Art. 19 Abs. 3 Satz 2 genannten Ziele in interdisziplinärer Zusammenarbeit mit den medizinischen, psychologischen, sonstigen pädagogischen, sozialen und anderen im Rahmen der Frühförderung zusammenwirkenden Diensten, deren Aufgaben, Rechtsgrundlagen, Organisation und Finanzierung unberührt bleiben. Die Förderung setzt das Einverständnis der Eltern und bei der sonderpädagogischen Hilfe in den Kindertageseinrichtungen die Absprache mit der Leitung der Kindertageseinrichtungen voraus.</w:t>
      </w:r>
    </w:p>
    <w:p>
      <w:r>
        <w:rPr>
          <w:color w:val="555555"/>
          <w:sz w:val="17"/>
        </w:rPr>
        <w:t xml:space="preserve">Zitiervorschlag: Art 22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