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119 BayEUG (Bayern) — Ordnungswidrigkeiten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kann belegt werden, wer</w:t>
      </w:r>
    </w:p>
    <w:p>
      <w:r>
        <w:t xml:space="preserve">1. vorsätzlich oder fahrlässig die ihm obliegende Anmeldung einer oder eines Schulpflichtigen zum Besuch der Grundschule, der Mittelschule, der Berufsschule oder der Förderschule unterlässt (Art. 35 Abs. 4),</w:t>
      </w:r>
    </w:p>
    <w:p>
      <w:r>
        <w:t xml:space="preserve">2. entgegen Art. 76 Satz 2 nicht dafür sorgt, dass minderjährige Schulpflichtige am Unterricht regelmäßig teilnehmen und die sonstigen verbindlichen Schulveranstaltungen besuchen, entgegen Art. 37 Abs. 3 Satz 1 und 2 in Verbindung mit Art. 76 Satz 3 nicht dafür sorgt, dass ein Kind an der Sprachstandserhebung teilnimmt, oder entgegen einer vollziehbaren Anordnung nach Art. 37 Abs. 3 Satz 4 oder Satz 6 in Verbindung mit Art. 76 Satz 3 nicht dafür sorgt, dass ein Kind regelmäßig eine staatlich geförderte Kindertageseinrichtung mit einem integrierten Vorkurs besucht; das Gleiche gilt für Personen, denen die Erziehung minderjähriger Schulpflichtiger durch Rechtsvorschrift oder Vertrag ganz oder teilweise übertragen ist,</w:t>
      </w:r>
    </w:p>
    <w:p>
      <w:r>
        <w:t xml:space="preserve">3. entgegen Art. 77 Berufsschulpflichtige nicht zur Teilnahme am Unterricht und zum Besuch der sonstigen verbindlichen Schulveranstaltungen anhält; das Gleiche gilt für Personen, denen die Erziehung minderjähriger Schulpflichtiger durch Rechtsvorschrift oder Vertrag ganz oder teilweise übertragen ist,</w:t>
      </w:r>
    </w:p>
    <w:p>
      <w:r>
        <w:t xml:space="preserve">4. als Schulpflichtige oder Schulpflichtiger am Unterricht oder an den sonstigen verbindlichen Schulveranstaltungen (Art. 56 Abs. 4 Satz 3) vorsätzlich nicht teilnimmt,</w:t>
      </w:r>
    </w:p>
    <w:p>
      <w:r>
        <w:t xml:space="preserve">5. eine Schule, ein Schülerheim oder eine Einrichtung der Mittagsbetreuung</w:t>
      </w:r>
    </w:p>
    <w:p>
      <w:r>
        <w:t xml:space="preserve">a) ohne die erforderliche Genehmigung oder die vorgeschriebene Anzeige oder</w:t>
      </w:r>
    </w:p>
    <w:p>
      <w:r>
        <w:t xml:space="preserve">b) nach vollziehbarer Rücknahme oder vollziehbarem Widerruf der Genehmigung oder nach vollziehbarer Untersagung der Errichtung oder Fortführung errichtet oder leitet,</w:t>
      </w:r>
    </w:p>
    <w:p>
      <w:r>
        <w:t xml:space="preserve">6. eine mit der Genehmigung verbundene vollziehbare Auflage nicht erfüllt,</w:t>
      </w:r>
    </w:p>
    <w:p>
      <w:r>
        <w:t xml:space="preserve">7. einer auf Grund von Art. 3 Abs. 2 Satz 2, Art. 95 oder 100 Abs. 2 Satz 1 erlassenen vollziehbaren Anordnung zuwiderhandelt,</w:t>
      </w:r>
    </w:p>
    <w:p>
      <w:r>
        <w:t xml:space="preserve">8. unbefugt eine nach Art. 97 Abs. 2 festgesetzte Berufsbezeichnung führt,</w:t>
      </w:r>
    </w:p>
    <w:p>
      <w:r>
        <w:t xml:space="preserve">9. als Schulleiterin oder Schulleiter, Lehrkraft oder Erzieherin oder Erzieher an einer Schule tätig ist, obwohl ihm dies untersagt worden ist,</w:t>
      </w:r>
    </w:p>
    <w:p>
      <w:r>
        <w:t xml:space="preserve">10. als Unternehmerin, Unternehmer, Leiterin, Leiter oder Lehrkraft den Vorschriften des Art. 105 Satz 1 zuwiderhandelt,</w:t>
      </w:r>
    </w:p>
    <w:p>
      <w:r>
        <w:t xml:space="preserve">11. entgegen Art. 118 Abs. 3 in Verbindung mit Abs. 2 einen minderjährigen Schulpflichtigen oder eine minderjährige Schulpflichtige nicht dem Gesundheitsdienst zuführt oder sich nicht vom Gesundheitsdienst untersuchen lässt.</w:t>
      </w:r>
    </w:p>
    <w:p>
      <w:r>
        <w:t xml:space="preserve">(2) Will die Kreisverwaltungsbehörde das Verfahren wegen einer Ordnungswidrigkeit nach Abs. 1 Nr. 2 bis 4 einstellen, so hat sie vorher die Schule zu hören. Der Erlass eines Bußgeldbescheids ist der Schule mitzuteilen.</w:t>
      </w:r>
    </w:p>
    <w:p>
      <w:r>
        <w:rPr>
          <w:color w:val="555555"/>
          <w:sz w:val="17"/>
        </w:rPr>
        <w:t xml:space="preserve">Zitiervorschlag: Art 119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https://recht.nulegal.eu/gesetze/BayEUG/119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