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107 BayEUG (Bayern) — Errichtung und Änderungen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Errichtung eines mit einer Grundschule, einer Mittelschule oder einer Förderschule verbundenen Schülerheims sowie eines nicht verbundenen Schülerheims unterliegt den Bestimmungen des Achten Buches Sozialgesetzbuch.</w:t>
      </w:r>
    </w:p>
    <w:p>
      <w:r>
        <w:t xml:space="preserve">(2) Für die Errichtung der übrigen verbundenen Schülerheime gelten die Vorschriften über die Errichtung einer Schule entsprechend. Wesentliche Änderungen und die Auflösung nichtstaatlicher verbundener Schülerheime gemäß Satz 1 sind der Aufsichtsbehörde anzuzeigen.</w:t>
      </w:r>
    </w:p>
    <w:p>
      <w:r>
        <w:rPr>
          <w:color w:val="555555"/>
          <w:sz w:val="17"/>
        </w:rPr>
        <w:t xml:space="preserve">Zitiervorschlag: Art 107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https://recht.nulegal.eu/gesetze/BayEUG/107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