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101 BayEUG (Bayern) — Ersatzschulen mit dem Charakter öffentlicher Schulen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Einer staatlich anerkannten Ersatzschule wird vom zuständigen Staatsministerium auf Antrag der Charakter einer öffentlichen Schule verliehen.</w:t>
      </w:r>
    </w:p>
    <w:p>
      <w:r>
        <w:t xml:space="preserve">(2) Eine Schule mit dem Charakter einer öffentlichen Schule ist verpflichtet, die für entsprechende öffentliche Schulen erlassene Schulordnung anzuwenden.</w:t>
      </w:r>
    </w:p>
    <w:p>
      <w:r>
        <w:rPr>
          <w:color w:val="555555"/>
          <w:sz w:val="17"/>
        </w:rPr>
        <w:t xml:space="preserve">Zitiervorschlag: Art 101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https://recht.nulegal.eu/gesetze/BayEUG/101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