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BayESG (Bayern) — Haftpflichtversicherung</w:t>
      </w:r>
    </w:p>
    <w:p>
      <w:r>
        <w:rPr>
          <w:color w:val="555555"/>
          <w:sz w:val="18"/>
        </w:rPr>
        <w:t xml:space="preserve">Bayerisches Eisenbahn- und Seilbahngesetz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Deckung der durch Unfälle beim Eisenbahnbetrieb verursachten Personenschäden und Sachschäden haben Betreiber von Werksbahnen sowie nichtöffentliche Eisenbahnverkehrsunternehmen, Wagenhalter und Fahrzeughalter, soweit sie die Infrastruktur einer Werksbahn im Sinn des § 2 Abs. 8 AEG benutzen, eine Haftpflichtversicherung abzuschließen und aufrechtzuerhalten. Die §§ 14, 14a Abs. 1, §§ 14b bis 14d AEG gelten entsprechend mit der Maßgabe, dass</w:t>
      </w:r>
    </w:p>
    <w:p>
      <w:r>
        <w:t xml:space="preserve">1. an die Stelle der Genehmigungsbehörde die Aufsichtsbehörde tritt und</w:t>
      </w:r>
    </w:p>
    <w:p>
      <w:r>
        <w:t xml:space="preserve">2. § 14a Abs. 1 Satz 1 Nr. 1 Buchst. b und Nr. 2 Buchst. b keine Anwendung findet.</w:t>
      </w:r>
    </w:p>
    <w:p>
      <w:r>
        <w:t xml:space="preserve">(2) Ausgenommen von der Versicherungspflicht nach Abs. 1 sind Betreiber oder Benutzer einer Werksbahn, soweit die Werksbahn keine Straßen, Wege und Plätze mit öffentlichem Verkehr kreuzt oder in deren Verkehrsraum verläuft.</w:t>
      </w:r>
    </w:p>
    <w:p>
      <w:r>
        <w:rPr>
          <w:color w:val="555555"/>
          <w:sz w:val="17"/>
        </w:rPr>
        <w:t xml:space="preserve">Zitiervorschlag: Art 7 BayESG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https://recht.nulegal.eu/gesetze/BayESG/7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