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BayESG (Bayern) — Ordnungswidrigkeiten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fünftausend Euro kann belegt werden, wer vorsätzlich oder fahrlässig</w:t>
      </w:r>
    </w:p>
    <w:p>
      <w:r>
        <w:t xml:space="preserve">1. eine Mitteilung nach Art. 2 nicht, nicht vollständig oder nicht rechtzeitig erstattet oder</w:t>
      </w:r>
    </w:p>
    <w:p>
      <w:r>
        <w:t xml:space="preserve">2. entgegen Art. 6 Abs. 1 Satz 2 der Aufsichtsbehörde keine mit den Belangen des Eisenbahnbetriebs beauftragte Person benennt.</w:t>
      </w:r>
    </w:p>
    <w:p>
      <w:r>
        <w:t xml:space="preserve">(2) Mit Geldbuße bis zu zehntausend Euro kann belegt werden, wer</w:t>
      </w:r>
    </w:p>
    <w:p>
      <w:r>
        <w:t xml:space="preserve">1. vorsätzlich oder fahrlässig</w:t>
      </w:r>
    </w:p>
    <w:p>
      <w:r>
        <w:t xml:space="preserve">a) entgegen Art. 15 Abs. 1 eine wesentliche technische Änderung nicht, nicht richtig oder nicht rechtzeitig anzeigt oder entgegen Art. 15 Abs. 2 eine wesentliche technische Änderung beginnt,</w:t>
      </w:r>
    </w:p>
    <w:p>
      <w:r>
        <w:t xml:space="preserve">b) entgegen Art. 13 Abs. 1 oder Art. 16 Abs. 1, auch in Verbindung mit Art. 16 Abs. 3, eine Seilbahn baut oder eine Anlage ändert oder</w:t>
      </w:r>
    </w:p>
    <w:p>
      <w:r>
        <w:t xml:space="preserve">c) einer nach Art. 29 erlassenen Rechtsverordnung, soweit diese für einen bestimmten Tatbestand auf diese Bußgeldvorschrift verweist, oder einer auf Grund einer solchen Verordnung ergangenen vollziehbaren Anordnung zuwiderhandelt,</w:t>
      </w:r>
    </w:p>
    <w:p>
      <w:r>
        <w:t xml:space="preserve">2. eine sonstige Bahn besonderer Bauart entgegen Art. 30 Abs. 1 ohne die erforderliche Erlaubnis errichtet oder betreibt oder</w:t>
      </w:r>
    </w:p>
    <w:p>
      <w:r>
        <w:t xml:space="preserve">3. einer vollziehbaren Anordnung nach Art. 30 Abs. 4 nicht Folge leistet.</w:t>
      </w:r>
    </w:p>
    <w:p>
      <w:r>
        <w:t xml:space="preserve">(3) Mit Geldbuße bis zu fünfzigtausend Euro kann belegt werden, wer vorsätzlich oder fahrlässig</w:t>
      </w:r>
    </w:p>
    <w:p>
      <w:r>
        <w:t xml:space="preserve">1. entgegen Art. 6 Abs. 1 Satz 1, Abs. 2 und 3, auch in Verbindung mit Art. 6 Abs. 5, einen Betriebsleiter oder Stellvertreter nicht bestellt,</w:t>
      </w:r>
    </w:p>
    <w:p>
      <w:r>
        <w:t xml:space="preserve">2. entgegen Art. 7 eine Haftpflichtversicherung nicht abschließt oder nicht aufrechterhält,</w:t>
      </w:r>
    </w:p>
    <w:p>
      <w:r>
        <w:t xml:space="preserve">3. einer Rechtsverordnung nach Art. 10 oder einer vollziehbaren Anordnung auf Grund einer solchen Rechtsverordnung zuwiderhandelt, soweit die Rechtsverordnung für einen bestimmten Tatbestand auf diese Bußgeldvorschriften verweist,</w:t>
      </w:r>
    </w:p>
    <w:p>
      <w:r>
        <w:t xml:space="preserve">4. entgegen Art. 13 Abs. 1 Satz 1, Art. 17 Abs. 1, Art. 23 Abs. 1, Art. 24 Abs. 2 oder entgegen einer vollziehbaren Anordnung nach Art. 28 Abs. 1 eine Seilbahn betreibt,</w:t>
      </w:r>
    </w:p>
    <w:p>
      <w:r>
        <w:t xml:space="preserve">5. entgegen Art. 22 Abs. 1 und 3 der Aufsichtsbehörde, der anerkannten sachverständigen Stelle oder der nach Art. 26 Abs. 2 Satz 2 beauftragten Stelle nicht alle Vorkommnisse mitteilt, die für die Betriebssicherheit der Seilbahn von Bedeutung sein können oder die geeignet sind, die Einstellung des Betriebs herbeizuführen, oder</w:t>
      </w:r>
    </w:p>
    <w:p>
      <w:r>
        <w:t xml:space="preserve">6. als anerkannte sachverständige Stelle eine zur Vorlage nach Art. 15 Abs. 4, Art. 16 Abs. 2 Nr. 5, Art. 17 Abs. 2 Nr. 1 oder Art. 22 Abs. 3 bestimmte Prüfbescheinigung ausstellt, ohne dass die Voraussetzungen dafür vorgelegen haben.</w:t>
      </w:r>
    </w:p>
    <w:p>
      <w:r>
        <w:rPr>
          <w:color w:val="555555"/>
          <w:sz w:val="17"/>
        </w:rPr>
        <w:t xml:space="preserve">Zitiervorschlag: Art 31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