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BayESG (Bayern) — Mitteilungspflichten</w:t>
      </w:r>
    </w:p>
    <w:p>
      <w:r>
        <w:rPr>
          <w:color w:val="555555"/>
          <w:sz w:val="18"/>
        </w:rPr>
        <w:t xml:space="preserve">Bayerisches Eisenbahn- und Seilbahngesetz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Eisenbahnen und Fahrzeughalter haben der Aufsichtsbehörde Unfälle im Eisenbahnbetrieb unverzüglich mitzuteilen. Außerdem sind der Aufsichtsbehörde Umstände mitzuteilen, die die Betriebssicherheit der Eisenbahn beeinträchtigen oder beeinträchtigen könnten.</w:t>
      </w:r>
    </w:p>
    <w:p>
      <w:r>
        <w:rPr>
          <w:color w:val="555555"/>
          <w:sz w:val="17"/>
        </w:rPr>
        <w:t xml:space="preserve">Zitiervorschlag: Art 2 BayESG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https://recht.nulegal.eu/gesetze/BayESG/2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