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BayESG (Bayern) — Betriebseröffnung</w:t>
      </w:r>
    </w:p>
    <w:p>
      <w:r>
        <w:rPr>
          <w:color w:val="555555"/>
          <w:sz w:val="18"/>
        </w:rPr>
        <w:t xml:space="preserve">Bayerisches Eisenbahn- und Seilbahngesetz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Betrieb einer Seilbahn darf erst eröffnet werden, wenn die technische Aufsichtsbehörde der Eröffnung zugestimmt hat.</w:t>
      </w:r>
    </w:p>
    <w:p>
      <w:r>
        <w:t xml:space="preserve">(2) Die Zustimmung zur Eröffnung des Betriebs wird erteilt, wenn</w:t>
      </w:r>
    </w:p>
    <w:p>
      <w:r>
        <w:t xml:space="preserve">1. eine Prüfbescheinigung über die Abnahme vorliegt, die bestätigt, dass die Seilbahn der Bau- und Betriebsgenehmigung und der genehmigten technischen Planung entspricht sowie ihre Betriebssicherheit gewährleistet ist,</w:t>
      </w:r>
    </w:p>
    <w:p>
      <w:r>
        <w:t xml:space="preserve">2. der Nachweis der vor der Betriebseröffnung zu erfüllenden Nebenbestimmungen der Bau- und Betriebsgenehmigung und der Genehmigung der technischen Planung erbracht ist,</w:t>
      </w:r>
    </w:p>
    <w:p>
      <w:r>
        <w:t xml:space="preserve">3. ein Betriebsleiter und mindestens ein Stellvertreter nach Maßgabe des Art. 20 bestellt sind und die Bestellung bestätigt ist,</w:t>
      </w:r>
    </w:p>
    <w:p>
      <w:r>
        <w:t xml:space="preserve">4. das Seilbahnunternehmen gemäß Art. 21 ausreichend versichert ist.</w:t>
      </w:r>
    </w:p>
    <w:p>
      <w:r>
        <w:t xml:space="preserve">(3) Für genehmigungspflichtige Änderungen der Seilbahn gemäß Art. 13 gelten die Abs. 1 und 2 entsprechend.</w:t>
      </w:r>
    </w:p>
    <w:p>
      <w:r>
        <w:rPr>
          <w:color w:val="555555"/>
          <w:sz w:val="17"/>
        </w:rPr>
        <w:t xml:space="preserve">Zitiervorschlag: Art 17 BayESG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https://recht.nulegal.eu/gesetze/BayESG/17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