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BayESG (Bayern) — Bau- und Betriebsgenehmigung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Bau und Betrieb einer Seilbahn bedarf der Genehmigung der Kreisverwaltungsbehörde. Dasselbe gilt für Änderungen der Seilbahn, die die Bau- und Betriebsgenehmigung betreffen.</w:t>
      </w:r>
    </w:p>
    <w:p>
      <w:r>
        <w:t xml:space="preserve">(2) Für die nach Abs. 1 Satz 1 genehmigungsbedürftigen Seilbahnen ist die Umweltverträglichkeitsprüfung nach dem Fünften Teil Abschnitt III des Bayerischen Verwaltungsverfahrensgesetzes (BayVwVfG) durchzuführen, wenn</w:t>
      </w:r>
    </w:p>
    <w:p>
      <w:r>
        <w:t xml:space="preserve">1. die Personenbeförderungskapazität 1000 Personen pro Stunde und Richtung bei Schleppliften oder 2200 Personen pro Stunde und Richtung bei den übrigen Seilbahnen überschreitet und</w:t>
      </w:r>
    </w:p>
    <w:p>
      <w:r>
        <w:t xml:space="preserve">2. die Luftlinienlänge zwischen der Tal- und der Bergstation über 3 000 m beträgt.</w:t>
      </w:r>
    </w:p>
    <w:p>
      <w:r>
        <w:t xml:space="preserve">(3) Bei einer Änderung oder Erweiterung ist eine Umweltverträglichkeitsprüfung durchzuführen, wenn</w:t>
      </w:r>
    </w:p>
    <w:p>
      <w:r>
        <w:t xml:space="preserve">1. der durch die Erweiterung hinzukommende Teil für sich betrachtet oder</w:t>
      </w:r>
    </w:p>
    <w:p>
      <w:r>
        <w:t xml:space="preserve">2. das durch die Änderung oder Erweiterung entstehende Vorhaben bei einheitlicher Betrachtung erstmals die in Abs. 2 Nr. 1 und 2 genannten Schwellenwerte erfüllt.</w:t>
      </w:r>
    </w:p>
    <w:p>
      <w:r>
        <w:t xml:space="preserve">Im Fall des Satzes 1 Nr. 2 ist dem geänderten oder erweiterten Vorhaben derjenige Teil des Bestands nicht mehr zuzurechnen, der früher als zwei Jahre vor Eingang des Antrags auf Zulassung des Änderungs- oder Erweiterungsvorhabens bei der zuständigen Behörde in Betrieb genommen worden ist.</w:t>
      </w:r>
    </w:p>
    <w:p>
      <w:r>
        <w:t xml:space="preserve">(4) Die in den Abs. 2 und 3 genannten Schwellenwerte halbieren sich, wenn sich die Seilbahn in einem Nationalpark, Natura 2000-Gebiet, Naturschutzgebiet oder gesetzlich geschütztem Biotop befindet.</w:t>
      </w:r>
    </w:p>
    <w:p>
      <w:r>
        <w:t xml:space="preserve">(5) Die Kreisverwaltungsbehörde prüft</w:t>
      </w:r>
    </w:p>
    <w:p>
      <w:r>
        <w:t xml:space="preserve">1. die Übereinstimmung der Seilbahn mit</w:t>
      </w:r>
    </w:p>
    <w:p>
      <w:r>
        <w:t xml:space="preserve">a) den auf sie anwendbaren Bestimmungen der Verordnung (EU) 2016/424,</w:t>
      </w:r>
    </w:p>
    <w:p>
      <w:r>
        <w:t xml:space="preserve">b) den in einem nach Art. 8 Abs. 5 der Verordnung (EU) 2016/424 erstellten Sicherheitsbericht enthaltenen Empfehlungen und</w:t>
      </w:r>
    </w:p>
    <w:p>
      <w:r>
        <w:t xml:space="preserve">c) den sonstigen Anforderungen an einen Anlagenbetrieb, der die Gesundheit und Sicherheit von Personen und Eigentum nicht gefährdet</w:t>
      </w:r>
    </w:p>
    <w:p>
      <w:r>
        <w:t xml:space="preserve">(Betriebssicherheit),</w:t>
      </w:r>
    </w:p>
    <w:p>
      <w:r>
        <w:t xml:space="preserve">2. ob Tatsachen vorliegen, aus denen sich die Unzuverlässigkeit der Person oder der Personen, die das Seilbahnunternehmen leiten (Unternehmer einer Seilbahn) oder ihrer Stellvertreter – bei juristischen Personen der nach Gesetz oder Satzung vertretungsberechtigten Personen – ergibt und</w:t>
      </w:r>
    </w:p>
    <w:p>
      <w:r>
        <w:t xml:space="preserve">3. ob das Vorhaben öffentlichen Interessen widerspricht.</w:t>
      </w:r>
    </w:p>
    <w:p>
      <w:r>
        <w:t xml:space="preserve">(6) Die Genehmigung wird vorbehaltlich der Genehmigung der technischen Planung gemäß Art. 16 und der Zustimmung zur Betriebseröffnung gemäß Art. 17 erteilt.</w:t>
      </w:r>
    </w:p>
    <w:p>
      <w:r>
        <w:t xml:space="preserve">(7) Die Genehmigung erlischt, wenn der Bau oder Betrieb dauerhaft eingestellt wird.</w:t>
      </w:r>
    </w:p>
    <w:p>
      <w:r>
        <w:rPr>
          <w:color w:val="555555"/>
          <w:sz w:val="17"/>
        </w:rPr>
        <w:t xml:space="preserve">Zitiervorschlag: Art 13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