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BayESG (Bayern) — Anwendungsbereich</w:t>
      </w:r>
    </w:p>
    <w:p>
      <w:r>
        <w:rPr>
          <w:color w:val="555555"/>
          <w:sz w:val="18"/>
        </w:rPr>
        <w:t xml:space="preserve">Bayerisches Eisenbahn- und Seilbahngesetz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Den Bestimmungen des II. Teils unterliegen die Seilbahnen für die Personenbeförderung sowie die Seilbahnen des öffentlichen Güterverkehrs.</w:t>
      </w:r>
    </w:p>
    <w:p>
      <w:r>
        <w:t xml:space="preserve">(2) Die Vorschriften des II. Teils gelten nicht für</w:t>
      </w:r>
    </w:p>
    <w:p>
      <w:r>
        <w:t xml:space="preserve">1. Anlagen gemäß Art. 2 Abs. 2 Buchst. a und e bis g der Verordnung (EU) 2016/424,</w:t>
      </w:r>
    </w:p>
    <w:p>
      <w:r>
        <w:t xml:space="preserve">2. Seilwinden zum Verschieben von Fahrzeugen und</w:t>
      </w:r>
    </w:p>
    <w:p>
      <w:r>
        <w:t xml:space="preserve">3. Seilbahnen zum alleinigen und nichtöffentlichen Transport von Gütern.</w:t>
      </w:r>
    </w:p>
    <w:p>
      <w:r>
        <w:rPr>
          <w:color w:val="555555"/>
          <w:sz w:val="17"/>
        </w:rPr>
        <w:t xml:space="preserve">Zitiervorschlag: Art 11 BayESG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https://recht.nulegal.eu/gesetze/BayESG/11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