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 BayESG (Bayern) — Rechtsverordnungen</w:t>
      </w:r>
    </w:p>
    <w:p>
      <w:r>
        <w:rPr>
          <w:color w:val="555555"/>
          <w:sz w:val="18"/>
        </w:rPr>
        <w:t xml:space="preserve">Bayerisches Eisenbahn- und Seilbahngesetz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Staatsministerium wird ermächtigt durch Rechtsverordnung Vorschriften zu erlassen über</w:t>
      </w:r>
    </w:p>
    <w:p>
      <w:r>
        <w:t xml:space="preserve">1. die Zulassung oder Anerkennung von Sachverständigen, technischen Überwachungsorganisationen oder sonstigen Stellen, deren Befugnisse sowie deren Überwachung,</w:t>
      </w:r>
    </w:p>
    <w:p>
      <w:r>
        <w:t xml:space="preserve">2. die Bestellung, Bestätigung und Prüfung von Betriebsleitern sowie deren Aufgaben und Befugnisse,</w:t>
      </w:r>
    </w:p>
    <w:p>
      <w:r>
        <w:t xml:space="preserve">3. die Übertragung von Aufgaben der Eisenbahnaufsicht auf andere öffentliche oder private Einrichtungen,</w:t>
      </w:r>
    </w:p>
    <w:p>
      <w:r>
        <w:t xml:space="preserve">4. nichtöffentliche Eisenbahnen im Rahmen des § 26 Abs. 5 Satz 3 AEG, insbesondere über den Bau, die Ausrüstung und die Unterhaltung der Betriebsanlagen und Fahrzeuge sowie über den Bahnbetrieb nach den Erfordernissen der Sicherheit und des Umweltschutzes.</w:t>
      </w:r>
    </w:p>
    <w:p>
      <w:r>
        <w:rPr>
          <w:color w:val="555555"/>
          <w:sz w:val="17"/>
        </w:rPr>
        <w:t xml:space="preserve">Zitiervorschlag: Art 10 BayESG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https://recht.nulegal.eu/gesetze/BayESG/10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