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BayESG (Bayern) — Anwendungsbereich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I. Teil gilt für Eisenbahnen, Wagenhalter und Fahrzeughalter im Sinn des Allgemeinen Eisenbahngesetzes (AEG), die</w:t>
      </w:r>
    </w:p>
    <w:p>
      <w:r>
        <w:t xml:space="preserve">1. als Eisenbahnverkehrsunternehmen, Wagenhalter oder Fahrzeughalter ihren Sitz im Freistaat Bayern haben und nicht Eisenbahnen oder Unternehmen des Bundes sind,</w:t>
      </w:r>
    </w:p>
    <w:p>
      <w:r>
        <w:t xml:space="preserve">2. im Freistaat Bayern eine Eisenbahninfrastruktur betreiben und nicht Eisenbahnen des Bundes sind hinsichtlich dieser Eisenbahninfrastruktur,</w:t>
      </w:r>
    </w:p>
    <w:p>
      <w:r>
        <w:t xml:space="preserve">3. eine nichtbundeseigene Eisenbahninfrastruktur im Freistaat Bayern benutzen hinsichtlich der Benutzung dieser Eisenbahninfrastruktur.</w:t>
      </w:r>
    </w:p>
    <w:p>
      <w:r>
        <w:t xml:space="preserve">Der I. Teil gilt ferner für Zahnradbahnen.</w:t>
      </w:r>
    </w:p>
    <w:p>
      <w:r>
        <w:t xml:space="preserve">(2) Der I. Teil gilt nicht für andere Schienenbahnen wie Magnetschwebebahnen und Straßenbahnen und die nach ihrer Bau- oder Betriebsweise ähnlichen Bahnen und sonstige Bahnen besonderer Bauart. Für Seilbahnen gilt der II. Teil.</w:t>
      </w:r>
    </w:p>
    <w:p>
      <w:r>
        <w:t xml:space="preserve">(3) Für Schienenbahnen, die der Bergaufsicht unterliegen, gilt der I. Teil nur hinsichtlich der Grubenanschlussbahnen.</w:t>
      </w:r>
    </w:p>
    <w:p>
      <w:r>
        <w:rPr>
          <w:color w:val="555555"/>
          <w:sz w:val="17"/>
        </w:rPr>
        <w:t xml:space="preserve">Zitiervorschlag: Art 1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