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BayELKV (Bayern)</w:t>
      </w:r>
    </w:p>
    <w:p>
      <w:r>
        <w:rPr>
          <w:color w:val="555555"/>
          <w:sz w:val="18"/>
        </w:rPr>
        <w:t xml:space="preserve">Vertrag zwischen dem Bayerischen Staate und der Evangelisch-Lutherischen Kirche in Bayern rechts des Rheins BayRS 2220-1-K/WK [Anlage 2, 4]</w:t>
      </w:r>
    </w:p>
    <w:p>
      <w:r>
        <w:rPr>
          <w:color w:val="555555"/>
          <w:sz w:val="18"/>
        </w:rPr>
        <w:t xml:space="preserve">Landesrecht Bayern</w:t>
      </w:r>
    </w:p>
    <w:p>
      <w:r>
        <w:rPr>
          <w:color w:val="555555"/>
          <w:sz w:val="18"/>
        </w:rPr>
        <w:t xml:space="preserve">Stand: 25.08.2026 (konsolidierte Textfassung, kein amtliches Inkrafttretensdatum)</w:t>
      </w:r>
    </w:p>
    <w:p>
      <w:r>
        <w:t xml:space="preserve">(I) Soweit nach der Neuordnung des Lehrerbildungswesens Privatanstalten noch in der Lage sind, die Vorbildung oder die berufliche Ausbildung von Lehrern oder Lehrerinnen zu übernehmen, wird der Staat bei ihrer Zulassung auch bestehende Anstalten der kirchlich anerkannten Diakonen- und Diakonissenanstalten entsprechend berücksichtigen.</w:t>
      </w:r>
    </w:p>
    <w:p>
      <w:r>
        <w:t xml:space="preserve">(II) Die an solchen privaten Anstalten vorgebildeten Zöglinge werden, falls diese Anstalten die staatlich vorgeschriebenen wissenschaftlichen Bedingungen erfüllen, nach Maßgabe der allgemeinen Bestimmungen zu den staatlichen Prüfungen zugelassen.</w:t>
      </w:r>
    </w:p>
    <w:p>
      <w:r>
        <w:rPr>
          <w:color w:val="555555"/>
          <w:sz w:val="17"/>
        </w:rPr>
        <w:t xml:space="preserve">Zitiervorschlag: Art 7 BayELKV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https://recht.nulegal.eu/gesetze/BayELKV/7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