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31 BayELKV (Bayern)</w:t>
      </w:r>
    </w:p>
    <w:p>
      <w:r>
        <w:rPr>
          <w:color w:val="555555"/>
          <w:sz w:val="18"/>
        </w:rPr>
        <w:t xml:space="preserve">Vertrag zwischen dem Bayerischen Staate und der Evangelisch-Lutherischen Kirche in Bayern rechts des Rheins BayRS 2220-1-K/WK [Anlage 2, 4]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(I) Sollte sich in Zukunft bei der Auslegung vorstehender Bestimmungen irgendeine Schwierigkeit ergeben, so werden die beiden Vertragsteile zur Beseitigung dieser Schwierigkeit in gegenseitiges Benehmen treten.</w:t>
      </w:r>
    </w:p>
    <w:p>
      <w:r>
        <w:t xml:space="preserve">(II) Insoweit bisher erlassene und noch in Kraft befindliche Landes- und Kirchengesetze, dann Verordnungen und Verfügungen des Staates oder der Kirche mit den Bestimmungen dieses Vertrages in Widerspruch stehen, werden sie aufgehoben.</w:t>
      </w:r>
    </w:p>
    <w:p>
      <w:r>
        <w:rPr>
          <w:color w:val="555555"/>
          <w:sz w:val="17"/>
        </w:rPr>
        <w:t xml:space="preserve">Zitiervorschlag: Art 31 BayELKV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https://recht.nulegal.eu/gesetze/BayELKV/31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