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25 BayELKV (Bayern)</w:t>
      </w:r>
    </w:p>
    <w:p>
      <w:r>
        <w:rPr>
          <w:color w:val="555555"/>
          <w:sz w:val="18"/>
        </w:rPr>
        <w:t xml:space="preserve">Vertrag zwischen dem Bayerischen Staate und der Evangelisch-Lutherischen Kirche in Bayern rechts des Rheins BayRS 2220-1-K/WK [Anlage 2, 4]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(I) Wie weit für die Verbesserung der Ruhestands- und Hinterbliebenenversorgung der Geistlichen, dann zur Deckung der Kosten der Landessynode, des Landessynodalausschusses und der Predigerseminare freiwillige Staatszuschüsse gewährt werden, bemißt sich nach den jeweiligen Willigungen des Staatshaushaltes.</w:t>
      </w:r>
    </w:p>
    <w:p>
      <w:r>
        <w:t xml:space="preserve">(II) Der Besitzstand der Kirche bei Regelung der freiwilligen staatlichen Seelsorgereinkommensergänzung für die Zeit, während der eine Pfründe oder Stelle nicht besetzt ist, bleibt gewahrt.</w:t>
      </w:r>
    </w:p>
    <w:p>
      <w:r>
        <w:rPr>
          <w:color w:val="555555"/>
          <w:sz w:val="17"/>
        </w:rPr>
        <w:t xml:space="preserve">Zitiervorschlag: Art 25 BayELKV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https://recht.nulegal.eu/gesetze/BayELKV/25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