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(I) Der Staat leistet zur Bestreitung des Personalaufwandes des Landeskirchenrates einen jährlichen Zuschuß. Der Zuschuß wird wie folgt berechnet:</w:t>
      </w:r>
    </w:p>
    <w:p>
      <w:r>
        <w:t xml:space="preserve">a) für den Landesbischof in Höhe der Dienstbezüge eines Beamten der Besoldungsgruppe B 10,</w:t>
      </w:r>
    </w:p>
    <w:p>
      <w:r>
        <w:t xml:space="preserve">b) für ein Mitglied des Landeskirchenrates in Höhe der Dienstbezüge eines Beamten der Besoldungsgruppe B 9,</w:t>
      </w:r>
    </w:p>
    <w:p>
      <w:r>
        <w:t xml:space="preserve">c) für fünf Mitglieder des Landeskirchenrates in Höhe der Dienstbezüge eines Beamten der Besoldungsgruppe B 3, für sechs weitere Mitglieder des Landeskirchenrates in Höhe der Dienstbezüge eines Beamten der Besoldungsgruppe A 15, für einen Referenten in Höhe der Dienstbezüge der Besoldungsgruppe A 14,</w:t>
      </w:r>
    </w:p>
    <w:p>
      <w:r>
        <w:t xml:space="preserve">d) für den sonstigen Personalaufwand in Höhe der Hälfte der Bezüge nach Buchst. a, b und c.</w:t>
      </w:r>
    </w:p>
    <w:p>
      <w:r>
        <w:t xml:space="preserve">(II) Der Besoldungsberechnung nach Abs. I Buchst. a mit c werden jeweils die letzte Dienstaltersstufe der einschlägigen Beamtenbesoldungsgruppe und, soweit die Besoldungen örtlich abgestuft sind, die für den Dienstsitz des Landeskirchenrates jeweils geltenden staatlichen Sätze zugrundegelegt; Zuschläge, die mit Rücksicht auf den Familienstand des Beamten gewährt werden, dann Ministerialzulagen bleiben für die Berechnung außer Betracht.</w:t>
      </w:r>
    </w:p>
    <w:p>
      <w:r>
        <w:t xml:space="preserve">(III) Für den Landesbischof wird außerdem eine Dienstaufwandentschädigung in dem dem Erzbischofe von München-Freising jeweils zustehenden Betrage gewährt.</w:t>
      </w:r>
    </w:p>
    <w:p>
      <w:r>
        <w:rPr>
          <w:color w:val="555555"/>
          <w:sz w:val="17"/>
        </w:rPr>
        <w:t xml:space="preserve">Zitiervorschlag: Art 21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