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Werden im Einverständnis mit der Staatsregierung Seelsorgestellen neu errichtet oder bestehende umgewandelt, so werden zur angemessenen Ergänzung des Einkommens der jeweiligen Stelleninhaber staatliche Mittel im Rahmen der bisher üblichen Leistungen für die Seelsorgegeistlichen im allgemeinen zur Verfügung gestellt.</w:t>
      </w:r>
    </w:p>
    <w:p>
      <w:r>
        <w:t xml:space="preserve">(II) Soweit staatliche Zuschüsse oder Mehraufwendungen nicht benötigt werden, können kirchliche Stellen frei errichtet oder umgewandelt werden.</w:t>
      </w:r>
    </w:p>
    <w:p>
      <w:r>
        <w:rPr>
          <w:color w:val="555555"/>
          <w:sz w:val="17"/>
        </w:rPr>
        <w:t xml:space="preserve">Zitiervorschlag: Art 16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