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BayELKV (Bayern)</w:t>
      </w:r>
    </w:p>
    <w:p>
      <w:r>
        <w:rPr>
          <w:color w:val="555555"/>
          <w:sz w:val="18"/>
        </w:rPr>
        <w:t xml:space="preserve">Vertrag zwischen dem Bayerischen Staate und der Evangelisch-Lutherischen Kirche in Bayern rechts des Rheins BayRS 2220-1-K/WK [Anlage 2, 4]</w:t>
      </w:r>
    </w:p>
    <w:p>
      <w:r>
        <w:rPr>
          <w:color w:val="555555"/>
          <w:sz w:val="18"/>
        </w:rPr>
        <w:t xml:space="preserve">Landesrecht Bayern</w:t>
      </w:r>
    </w:p>
    <w:p>
      <w:r>
        <w:rPr>
          <w:color w:val="555555"/>
          <w:sz w:val="18"/>
        </w:rPr>
        <w:t xml:space="preserve">Stand: 25.08.2026 (konsolidierte Textfassung, kein amtliches Inkrafttretensdatum)</w:t>
      </w:r>
    </w:p>
    <w:p>
      <w:r>
        <w:t xml:space="preserve">(I) Der Bayerische Staat wird seinen auf Gesetz, Vertrag oder besonderen Rechtstiteln beruhenden vermögensrechtlichen Verpflichtungen gegen die Evangelisch-Lutherische Kirche in Bayern stets nachkommen.</w:t>
      </w:r>
    </w:p>
    <w:p>
      <w:r>
        <w:t xml:space="preserve">(II) Im Falle einer Ablösung oder Neuregelung der auf Gesetz, Vertrag oder besonderem Rechtstitel beruhenden staatlichen Leistungen an die Kirche sichert der Bayerische Staat die Wahrung der kirchlichen Belange durch Ausgleichsleistungen zu, die entsprechend dem Inhalt und Umfange des Rechtsverhältnisses unter Berücksichtigung der Geldwertverhältnisse vollen Ersatz für das weggefallene Recht gewähren.</w:t>
      </w:r>
    </w:p>
    <w:p>
      <w:r>
        <w:rPr>
          <w:color w:val="555555"/>
          <w:sz w:val="17"/>
        </w:rPr>
        <w:t xml:space="preserve">Zitiervorschlag: Art 15 BayELKV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https://recht.nulegal.eu/gesetze/BayELKV/15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